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F244F" w14:textId="3F029BCA" w:rsidR="00EF3EB7" w:rsidRDefault="00E57750" w:rsidP="00E57750">
      <w:pPr>
        <w:pStyle w:val="NoSpacing"/>
        <w:jc w:val="center"/>
        <w:rPr>
          <w:rFonts w:cs="Arial"/>
          <w:b/>
          <w:bCs/>
          <w:sz w:val="24"/>
          <w:szCs w:val="24"/>
          <w:u w:val="single"/>
        </w:rPr>
      </w:pPr>
      <w:r w:rsidRPr="00E57750">
        <w:rPr>
          <w:rFonts w:cs="Arial"/>
          <w:b/>
          <w:bCs/>
          <w:sz w:val="24"/>
          <w:szCs w:val="24"/>
          <w:u w:val="single"/>
        </w:rPr>
        <w:t xml:space="preserve">Maidenhead Town Centre and Maidenhead </w:t>
      </w:r>
      <w:r w:rsidR="005B06B6">
        <w:rPr>
          <w:rFonts w:cs="Arial"/>
          <w:b/>
          <w:bCs/>
          <w:sz w:val="24"/>
          <w:szCs w:val="24"/>
          <w:u w:val="single"/>
        </w:rPr>
        <w:t>Population</w:t>
      </w:r>
      <w:r w:rsidRPr="00E57750">
        <w:rPr>
          <w:rFonts w:cs="Arial"/>
          <w:b/>
          <w:bCs/>
          <w:sz w:val="24"/>
          <w:szCs w:val="24"/>
          <w:u w:val="single"/>
        </w:rPr>
        <w:t xml:space="preserve"> Profile</w:t>
      </w:r>
    </w:p>
    <w:p w14:paraId="4B2887EB" w14:textId="1A8C3875" w:rsidR="00E57750" w:rsidRDefault="00E57750" w:rsidP="00E57750">
      <w:pPr>
        <w:pStyle w:val="NoSpacing"/>
        <w:jc w:val="center"/>
        <w:rPr>
          <w:rFonts w:cs="Arial"/>
          <w:b/>
          <w:bCs/>
          <w:sz w:val="24"/>
          <w:szCs w:val="24"/>
          <w:u w:val="single"/>
        </w:rPr>
      </w:pPr>
    </w:p>
    <w:p w14:paraId="105E9FAC" w14:textId="25D75F0C" w:rsidR="00EE07A4" w:rsidRPr="00AF7CCF" w:rsidRDefault="00EE07A4" w:rsidP="00EE07A4">
      <w:pPr>
        <w:pStyle w:val="NoSpacing"/>
        <w:rPr>
          <w:rFonts w:cs="Arial"/>
        </w:rPr>
      </w:pPr>
      <w:r w:rsidRPr="00AF7CCF">
        <w:rPr>
          <w:rFonts w:cs="Arial"/>
        </w:rPr>
        <w:t xml:space="preserve">This </w:t>
      </w:r>
      <w:r w:rsidR="005B06B6">
        <w:rPr>
          <w:rFonts w:cs="Arial"/>
        </w:rPr>
        <w:t xml:space="preserve">Population </w:t>
      </w:r>
      <w:r w:rsidRPr="00AF7CCF">
        <w:rPr>
          <w:rFonts w:cs="Arial"/>
        </w:rPr>
        <w:t xml:space="preserve">Profile provides a high-level summary of the </w:t>
      </w:r>
      <w:r w:rsidR="00B14D75">
        <w:rPr>
          <w:rFonts w:cs="Arial"/>
        </w:rPr>
        <w:t xml:space="preserve">demography and </w:t>
      </w:r>
      <w:r w:rsidRPr="00AF7CCF">
        <w:rPr>
          <w:rFonts w:cs="Arial"/>
        </w:rPr>
        <w:t>health of people living in Maidenhead Town Centre and Maidenhead</w:t>
      </w:r>
      <w:r w:rsidR="00B14D75">
        <w:rPr>
          <w:rFonts w:cs="Arial"/>
        </w:rPr>
        <w:t xml:space="preserve">. </w:t>
      </w:r>
      <w:r w:rsidRPr="00AF7CCF">
        <w:rPr>
          <w:rFonts w:cs="Arial"/>
        </w:rPr>
        <w:t xml:space="preserve">These areas have been compared against the Royal Borough of Windsor &amp; Maidenhead (RBWM) and Frimley Integrated Care System (ICS) to provide </w:t>
      </w:r>
      <w:r w:rsidR="00B14D75">
        <w:rPr>
          <w:rFonts w:cs="Arial"/>
        </w:rPr>
        <w:t>further context.</w:t>
      </w:r>
    </w:p>
    <w:p w14:paraId="2E3E3EE4" w14:textId="24FF8F2A" w:rsidR="00EE07A4" w:rsidRPr="00B14D75" w:rsidRDefault="00EE07A4" w:rsidP="00EE07A4">
      <w:pPr>
        <w:pStyle w:val="NoSpacing"/>
        <w:rPr>
          <w:rFonts w:cs="Arial"/>
          <w:sz w:val="20"/>
          <w:szCs w:val="20"/>
        </w:rPr>
      </w:pPr>
    </w:p>
    <w:p w14:paraId="2C3ED139" w14:textId="782F0C21" w:rsidR="00EE07A4" w:rsidRPr="00B14D75" w:rsidRDefault="00EE07A4" w:rsidP="00EE07A4">
      <w:pPr>
        <w:pStyle w:val="NoSpacing"/>
        <w:pBdr>
          <w:top w:val="single" w:sz="4" w:space="1" w:color="auto"/>
          <w:left w:val="single" w:sz="4" w:space="4" w:color="auto"/>
          <w:bottom w:val="single" w:sz="4" w:space="1" w:color="auto"/>
          <w:right w:val="single" w:sz="4" w:space="4" w:color="auto"/>
        </w:pBdr>
        <w:rPr>
          <w:rFonts w:cs="Arial"/>
          <w:b/>
          <w:bCs/>
          <w:sz w:val="20"/>
          <w:szCs w:val="20"/>
        </w:rPr>
      </w:pPr>
      <w:r w:rsidRPr="00B14D75">
        <w:rPr>
          <w:rFonts w:cs="Arial"/>
          <w:b/>
          <w:bCs/>
          <w:sz w:val="20"/>
          <w:szCs w:val="20"/>
        </w:rPr>
        <w:t>Geographies used in these profiles</w:t>
      </w:r>
    </w:p>
    <w:p w14:paraId="3FF14C3E" w14:textId="77777777" w:rsidR="00EE07A4" w:rsidRPr="00B14D75" w:rsidRDefault="00EE07A4" w:rsidP="00EE07A4">
      <w:pPr>
        <w:pStyle w:val="NoSpacing"/>
        <w:pBdr>
          <w:top w:val="single" w:sz="4" w:space="1" w:color="auto"/>
          <w:left w:val="single" w:sz="4" w:space="4" w:color="auto"/>
          <w:bottom w:val="single" w:sz="4" w:space="1" w:color="auto"/>
          <w:right w:val="single" w:sz="4" w:space="4" w:color="auto"/>
        </w:pBdr>
        <w:rPr>
          <w:rFonts w:cs="Arial"/>
          <w:b/>
          <w:bCs/>
          <w:sz w:val="20"/>
          <w:szCs w:val="20"/>
        </w:rPr>
      </w:pPr>
    </w:p>
    <w:p w14:paraId="3C8091CC" w14:textId="3DDB970E" w:rsidR="00EE07A4" w:rsidRPr="00B14D75" w:rsidRDefault="00EE07A4" w:rsidP="00EE07A4">
      <w:pPr>
        <w:pStyle w:val="NoSpacing"/>
        <w:pBdr>
          <w:top w:val="single" w:sz="4" w:space="1" w:color="auto"/>
          <w:left w:val="single" w:sz="4" w:space="4" w:color="auto"/>
          <w:bottom w:val="single" w:sz="4" w:space="1" w:color="auto"/>
          <w:right w:val="single" w:sz="4" w:space="4" w:color="auto"/>
        </w:pBdr>
        <w:rPr>
          <w:rFonts w:cs="Arial"/>
          <w:sz w:val="20"/>
          <w:szCs w:val="20"/>
        </w:rPr>
      </w:pPr>
      <w:r w:rsidRPr="00B14D75">
        <w:rPr>
          <w:rFonts w:cs="Arial"/>
          <w:b/>
          <w:bCs/>
          <w:sz w:val="20"/>
          <w:szCs w:val="20"/>
        </w:rPr>
        <w:t xml:space="preserve">Maidenhead Town Centre: </w:t>
      </w:r>
      <w:r w:rsidRPr="00B14D75">
        <w:rPr>
          <w:rFonts w:cs="Arial"/>
          <w:sz w:val="20"/>
          <w:szCs w:val="20"/>
        </w:rPr>
        <w:t>RBWM wards</w:t>
      </w:r>
      <w:r w:rsidRPr="00B14D75">
        <w:rPr>
          <w:rFonts w:cs="Arial"/>
          <w:b/>
          <w:bCs/>
          <w:sz w:val="20"/>
          <w:szCs w:val="20"/>
        </w:rPr>
        <w:t xml:space="preserve"> - </w:t>
      </w:r>
      <w:r w:rsidRPr="00B14D75">
        <w:rPr>
          <w:rFonts w:cs="Arial"/>
          <w:sz w:val="20"/>
          <w:szCs w:val="20"/>
        </w:rPr>
        <w:t>Belmont, Boyn Hill, Furze Platt, Oldfield, Pinkneys Green, Riverside and St Marys.</w:t>
      </w:r>
    </w:p>
    <w:p w14:paraId="444C137B" w14:textId="359438E4" w:rsidR="00EE07A4" w:rsidRPr="00B14D75" w:rsidRDefault="00EE07A4" w:rsidP="00EE07A4">
      <w:pPr>
        <w:pStyle w:val="NoSpacing"/>
        <w:pBdr>
          <w:top w:val="single" w:sz="4" w:space="1" w:color="auto"/>
          <w:left w:val="single" w:sz="4" w:space="4" w:color="auto"/>
          <w:bottom w:val="single" w:sz="4" w:space="1" w:color="auto"/>
          <w:right w:val="single" w:sz="4" w:space="4" w:color="auto"/>
        </w:pBdr>
        <w:rPr>
          <w:rFonts w:cs="Arial"/>
          <w:sz w:val="20"/>
          <w:szCs w:val="20"/>
        </w:rPr>
      </w:pPr>
    </w:p>
    <w:p w14:paraId="12574930" w14:textId="3B3E23FC" w:rsidR="00EE07A4" w:rsidRPr="00B14D75" w:rsidRDefault="00EE07A4" w:rsidP="00EE07A4">
      <w:pPr>
        <w:pStyle w:val="NoSpacing"/>
        <w:pBdr>
          <w:top w:val="single" w:sz="4" w:space="1" w:color="auto"/>
          <w:left w:val="single" w:sz="4" w:space="4" w:color="auto"/>
          <w:bottom w:val="single" w:sz="4" w:space="1" w:color="auto"/>
          <w:right w:val="single" w:sz="4" w:space="4" w:color="auto"/>
        </w:pBdr>
        <w:rPr>
          <w:rFonts w:cs="Arial"/>
          <w:sz w:val="20"/>
          <w:szCs w:val="20"/>
        </w:rPr>
      </w:pPr>
      <w:r w:rsidRPr="00B14D75">
        <w:rPr>
          <w:rFonts w:cs="Arial"/>
          <w:b/>
          <w:bCs/>
          <w:sz w:val="20"/>
          <w:szCs w:val="20"/>
        </w:rPr>
        <w:t xml:space="preserve">Maidenhead: </w:t>
      </w:r>
      <w:r w:rsidRPr="00B14D75">
        <w:rPr>
          <w:rFonts w:cs="Arial"/>
          <w:sz w:val="20"/>
          <w:szCs w:val="20"/>
        </w:rPr>
        <w:t>Wards included in Maidenhead Town Centre, plus Bisham &amp; Cookham, Bray, Cox Green, Hurley &amp; Walthams wards</w:t>
      </w:r>
    </w:p>
    <w:p w14:paraId="59F742DA" w14:textId="77777777" w:rsidR="00EE07A4" w:rsidRPr="00EE07A4" w:rsidRDefault="00EE07A4" w:rsidP="00EE07A4">
      <w:pPr>
        <w:pStyle w:val="NoSpacing"/>
        <w:pBdr>
          <w:top w:val="single" w:sz="4" w:space="1" w:color="auto"/>
          <w:left w:val="single" w:sz="4" w:space="4" w:color="auto"/>
          <w:bottom w:val="single" w:sz="4" w:space="1" w:color="auto"/>
          <w:right w:val="single" w:sz="4" w:space="4" w:color="auto"/>
        </w:pBdr>
        <w:rPr>
          <w:rFonts w:cs="Arial"/>
          <w:sz w:val="21"/>
          <w:szCs w:val="21"/>
        </w:rPr>
      </w:pPr>
    </w:p>
    <w:p w14:paraId="40ED40EA" w14:textId="7DCC89E5" w:rsidR="00EE07A4" w:rsidRDefault="00EE07A4" w:rsidP="00EE07A4">
      <w:pPr>
        <w:pStyle w:val="NoSpacing"/>
        <w:rPr>
          <w:rFonts w:cs="Arial"/>
          <w:sz w:val="24"/>
          <w:szCs w:val="24"/>
        </w:rPr>
      </w:pPr>
    </w:p>
    <w:p w14:paraId="2AD31B31" w14:textId="66A1D7EE" w:rsidR="00EE07A4" w:rsidRPr="001C75B1" w:rsidRDefault="00EE07A4" w:rsidP="00EE07A4">
      <w:pPr>
        <w:pStyle w:val="NoSpacing"/>
        <w:rPr>
          <w:rFonts w:cs="Arial"/>
          <w:b/>
          <w:bCs/>
          <w:color w:val="4F81BD" w:themeColor="accent1"/>
          <w:sz w:val="24"/>
          <w:szCs w:val="24"/>
          <w:u w:val="single"/>
        </w:rPr>
      </w:pPr>
      <w:r w:rsidRPr="001C75B1">
        <w:rPr>
          <w:rFonts w:cs="Arial"/>
          <w:b/>
          <w:bCs/>
          <w:color w:val="4F81BD" w:themeColor="accent1"/>
          <w:sz w:val="24"/>
          <w:szCs w:val="24"/>
          <w:u w:val="single"/>
        </w:rPr>
        <w:t>Population and demographic factors</w:t>
      </w:r>
    </w:p>
    <w:p w14:paraId="69E5A4B1" w14:textId="2A202A30" w:rsidR="003375A4" w:rsidRDefault="003375A4" w:rsidP="00EE07A4">
      <w:pPr>
        <w:pStyle w:val="NoSpacing"/>
        <w:rPr>
          <w:rFonts w:cs="Arial"/>
          <w:b/>
          <w:bCs/>
          <w:color w:val="4F81BD" w:themeColor="accent1"/>
          <w:sz w:val="24"/>
          <w:szCs w:val="24"/>
        </w:rPr>
      </w:pPr>
    </w:p>
    <w:p w14:paraId="562477EE" w14:textId="0C1BF1F4" w:rsidR="00AF7CCF" w:rsidRDefault="0053119F" w:rsidP="00EE07A4">
      <w:pPr>
        <w:pStyle w:val="NoSpacing"/>
        <w:rPr>
          <w:rFonts w:cs="Arial"/>
        </w:rPr>
      </w:pPr>
      <w:r w:rsidRPr="00FE2F6F">
        <w:rPr>
          <w:rFonts w:cs="Arial"/>
        </w:rPr>
        <w:t>Maidenhead Town</w:t>
      </w:r>
      <w:r>
        <w:rPr>
          <w:rFonts w:cs="Arial"/>
        </w:rPr>
        <w:t xml:space="preserve"> Centre</w:t>
      </w:r>
      <w:r w:rsidR="009E51C1">
        <w:rPr>
          <w:rFonts w:cs="Arial"/>
        </w:rPr>
        <w:t xml:space="preserve"> was</w:t>
      </w:r>
      <w:r>
        <w:rPr>
          <w:rFonts w:cs="Arial"/>
        </w:rPr>
        <w:t xml:space="preserve"> estimated to have </w:t>
      </w:r>
      <w:r w:rsidR="009E51C1">
        <w:rPr>
          <w:rFonts w:cs="Arial"/>
        </w:rPr>
        <w:t xml:space="preserve">a population of 52,176 in 2020 </w:t>
      </w:r>
      <w:r w:rsidR="001C75B1">
        <w:rPr>
          <w:rFonts w:cs="Arial"/>
        </w:rPr>
        <w:t xml:space="preserve">with </w:t>
      </w:r>
      <w:r w:rsidR="009E51C1">
        <w:rPr>
          <w:rFonts w:cs="Arial"/>
        </w:rPr>
        <w:t>the wider Maidenhead area</w:t>
      </w:r>
      <w:r w:rsidR="001C75B1">
        <w:rPr>
          <w:rFonts w:cs="Arial"/>
        </w:rPr>
        <w:t xml:space="preserve"> </w:t>
      </w:r>
      <w:r w:rsidR="00717619">
        <w:rPr>
          <w:rFonts w:cs="Arial"/>
        </w:rPr>
        <w:t xml:space="preserve">estimated at </w:t>
      </w:r>
      <w:r w:rsidR="004A2925">
        <w:rPr>
          <w:rFonts w:cs="Arial"/>
        </w:rPr>
        <w:t>80,378 (</w:t>
      </w:r>
      <w:hyperlink r:id="rId9" w:history="1">
        <w:r w:rsidR="004A2925" w:rsidRPr="004A2925">
          <w:rPr>
            <w:rStyle w:val="Hyperlink"/>
            <w:rFonts w:cs="Arial"/>
          </w:rPr>
          <w:t>Office for National Statistics</w:t>
        </w:r>
      </w:hyperlink>
      <w:r w:rsidR="00971C01">
        <w:rPr>
          <w:rFonts w:cs="Arial"/>
        </w:rPr>
        <w:t xml:space="preserve"> (ONS)</w:t>
      </w:r>
      <w:r w:rsidR="004A2925">
        <w:rPr>
          <w:rFonts w:cs="Arial"/>
        </w:rPr>
        <w:t xml:space="preserve"> 2021).</w:t>
      </w:r>
      <w:r w:rsidR="009E51C1">
        <w:rPr>
          <w:rFonts w:cs="Arial"/>
        </w:rPr>
        <w:t xml:space="preserve"> </w:t>
      </w:r>
    </w:p>
    <w:p w14:paraId="118F2746" w14:textId="7B399BD3" w:rsidR="00F06A00" w:rsidRDefault="00F06A00" w:rsidP="00EE07A4">
      <w:pPr>
        <w:pStyle w:val="NoSpacing"/>
        <w:rPr>
          <w:rFonts w:cs="Arial"/>
        </w:rPr>
      </w:pPr>
    </w:p>
    <w:p w14:paraId="6C1BD4FA" w14:textId="7EB5EABF" w:rsidR="004A46C8" w:rsidRDefault="004A46C8" w:rsidP="00EE07A4">
      <w:pPr>
        <w:pStyle w:val="NoSpacing"/>
        <w:rPr>
          <w:rFonts w:cs="Arial"/>
          <w:b/>
          <w:bCs/>
          <w:sz w:val="20"/>
          <w:szCs w:val="20"/>
        </w:rPr>
      </w:pPr>
      <w:r w:rsidRPr="00567774">
        <w:rPr>
          <w:rFonts w:cs="Arial"/>
          <w:b/>
          <w:bCs/>
          <w:sz w:val="20"/>
          <w:szCs w:val="20"/>
        </w:rPr>
        <w:t xml:space="preserve">Figure </w:t>
      </w:r>
      <w:r>
        <w:rPr>
          <w:rFonts w:cs="Arial"/>
          <w:b/>
          <w:bCs/>
          <w:sz w:val="20"/>
          <w:szCs w:val="20"/>
        </w:rPr>
        <w:t>1</w:t>
      </w:r>
      <w:r w:rsidRPr="00567774">
        <w:rPr>
          <w:rFonts w:cs="Arial"/>
          <w:b/>
          <w:bCs/>
          <w:sz w:val="20"/>
          <w:szCs w:val="20"/>
        </w:rPr>
        <w:t>:</w:t>
      </w:r>
      <w:r>
        <w:rPr>
          <w:rFonts w:cs="Arial"/>
          <w:b/>
          <w:bCs/>
          <w:sz w:val="20"/>
          <w:szCs w:val="20"/>
        </w:rPr>
        <w:t xml:space="preserve"> Population by broad age groups (2020 mid-year estimates)</w:t>
      </w:r>
    </w:p>
    <w:p w14:paraId="23FB9BD2" w14:textId="77777777" w:rsidR="00293741" w:rsidRPr="00170DC5" w:rsidRDefault="00293741" w:rsidP="00EE07A4">
      <w:pPr>
        <w:pStyle w:val="NoSpacing"/>
        <w:rPr>
          <w:rFonts w:cs="Arial"/>
          <w:sz w:val="16"/>
          <w:szCs w:val="16"/>
        </w:rPr>
      </w:pPr>
    </w:p>
    <w:tbl>
      <w:tblPr>
        <w:tblStyle w:val="TableGrid"/>
        <w:tblW w:w="0" w:type="auto"/>
        <w:tblLook w:val="04A0" w:firstRow="1" w:lastRow="0" w:firstColumn="1" w:lastColumn="0" w:noHBand="0" w:noVBand="1"/>
      </w:tblPr>
      <w:tblGrid>
        <w:gridCol w:w="2913"/>
        <w:gridCol w:w="1399"/>
        <w:gridCol w:w="1400"/>
        <w:gridCol w:w="1400"/>
        <w:gridCol w:w="1400"/>
        <w:gridCol w:w="1400"/>
      </w:tblGrid>
      <w:tr w:rsidR="004A46C8" w14:paraId="4C687BB7" w14:textId="77777777" w:rsidTr="00293741">
        <w:tc>
          <w:tcPr>
            <w:tcW w:w="2913" w:type="dxa"/>
            <w:tcBorders>
              <w:top w:val="nil"/>
              <w:left w:val="nil"/>
            </w:tcBorders>
          </w:tcPr>
          <w:p w14:paraId="6274CDD8" w14:textId="77777777" w:rsidR="004A46C8" w:rsidRPr="004A46C8" w:rsidRDefault="004A46C8" w:rsidP="004A46C8">
            <w:pPr>
              <w:pStyle w:val="NoSpacing"/>
              <w:rPr>
                <w:rFonts w:cs="Arial"/>
                <w:b/>
                <w:bCs/>
                <w:sz w:val="20"/>
                <w:szCs w:val="20"/>
              </w:rPr>
            </w:pPr>
          </w:p>
        </w:tc>
        <w:tc>
          <w:tcPr>
            <w:tcW w:w="1399" w:type="dxa"/>
            <w:vAlign w:val="bottom"/>
          </w:tcPr>
          <w:p w14:paraId="3609B8A7" w14:textId="785377C6" w:rsidR="004A46C8" w:rsidRPr="004A46C8" w:rsidRDefault="004A46C8" w:rsidP="004A46C8">
            <w:pPr>
              <w:pStyle w:val="NoSpacing"/>
              <w:jc w:val="center"/>
              <w:rPr>
                <w:rFonts w:cs="Arial"/>
                <w:b/>
                <w:bCs/>
                <w:sz w:val="20"/>
                <w:szCs w:val="20"/>
              </w:rPr>
            </w:pPr>
            <w:r w:rsidRPr="004A46C8">
              <w:rPr>
                <w:rFonts w:cs="Arial"/>
                <w:b/>
                <w:bCs/>
                <w:sz w:val="20"/>
                <w:szCs w:val="20"/>
              </w:rPr>
              <w:t>Under 18</w:t>
            </w:r>
          </w:p>
        </w:tc>
        <w:tc>
          <w:tcPr>
            <w:tcW w:w="1400" w:type="dxa"/>
            <w:vAlign w:val="bottom"/>
          </w:tcPr>
          <w:p w14:paraId="2DFDA8B3" w14:textId="3526CDCF" w:rsidR="004A46C8" w:rsidRPr="004A46C8" w:rsidRDefault="004A46C8" w:rsidP="004A46C8">
            <w:pPr>
              <w:pStyle w:val="NoSpacing"/>
              <w:jc w:val="center"/>
              <w:rPr>
                <w:rFonts w:cs="Arial"/>
                <w:b/>
                <w:bCs/>
                <w:sz w:val="20"/>
                <w:szCs w:val="20"/>
              </w:rPr>
            </w:pPr>
            <w:r w:rsidRPr="004A46C8">
              <w:rPr>
                <w:rFonts w:cs="Arial"/>
                <w:b/>
                <w:bCs/>
                <w:sz w:val="20"/>
                <w:szCs w:val="20"/>
              </w:rPr>
              <w:t>18 to 39</w:t>
            </w:r>
          </w:p>
        </w:tc>
        <w:tc>
          <w:tcPr>
            <w:tcW w:w="1400" w:type="dxa"/>
            <w:vAlign w:val="bottom"/>
          </w:tcPr>
          <w:p w14:paraId="773DA02F" w14:textId="2CB240D0" w:rsidR="004A46C8" w:rsidRPr="004A46C8" w:rsidRDefault="004A46C8" w:rsidP="004A46C8">
            <w:pPr>
              <w:pStyle w:val="NoSpacing"/>
              <w:jc w:val="center"/>
              <w:rPr>
                <w:rFonts w:cs="Arial"/>
                <w:b/>
                <w:bCs/>
                <w:sz w:val="20"/>
                <w:szCs w:val="20"/>
              </w:rPr>
            </w:pPr>
            <w:r w:rsidRPr="004A46C8">
              <w:rPr>
                <w:rFonts w:cs="Arial"/>
                <w:b/>
                <w:bCs/>
                <w:sz w:val="20"/>
                <w:szCs w:val="20"/>
              </w:rPr>
              <w:t>40 to 59</w:t>
            </w:r>
          </w:p>
        </w:tc>
        <w:tc>
          <w:tcPr>
            <w:tcW w:w="1400" w:type="dxa"/>
            <w:vAlign w:val="bottom"/>
          </w:tcPr>
          <w:p w14:paraId="12371E04" w14:textId="4D6D3165" w:rsidR="004A46C8" w:rsidRPr="004A46C8" w:rsidRDefault="004A46C8" w:rsidP="004A46C8">
            <w:pPr>
              <w:pStyle w:val="NoSpacing"/>
              <w:jc w:val="center"/>
              <w:rPr>
                <w:rFonts w:cs="Arial"/>
                <w:b/>
                <w:bCs/>
                <w:sz w:val="20"/>
                <w:szCs w:val="20"/>
              </w:rPr>
            </w:pPr>
            <w:r w:rsidRPr="004A46C8">
              <w:rPr>
                <w:rFonts w:cs="Arial"/>
                <w:b/>
                <w:bCs/>
                <w:sz w:val="20"/>
                <w:szCs w:val="20"/>
              </w:rPr>
              <w:t>60 to 79</w:t>
            </w:r>
          </w:p>
        </w:tc>
        <w:tc>
          <w:tcPr>
            <w:tcW w:w="1400" w:type="dxa"/>
            <w:vAlign w:val="bottom"/>
          </w:tcPr>
          <w:p w14:paraId="67874B81" w14:textId="710CD49E" w:rsidR="004A46C8" w:rsidRPr="004A46C8" w:rsidRDefault="004A46C8" w:rsidP="004A46C8">
            <w:pPr>
              <w:pStyle w:val="NoSpacing"/>
              <w:jc w:val="center"/>
              <w:rPr>
                <w:rFonts w:cs="Arial"/>
                <w:b/>
                <w:bCs/>
                <w:sz w:val="20"/>
                <w:szCs w:val="20"/>
              </w:rPr>
            </w:pPr>
            <w:r w:rsidRPr="004A46C8">
              <w:rPr>
                <w:rFonts w:cs="Arial"/>
                <w:b/>
                <w:bCs/>
                <w:sz w:val="20"/>
                <w:szCs w:val="20"/>
              </w:rPr>
              <w:t>80 and over</w:t>
            </w:r>
          </w:p>
        </w:tc>
      </w:tr>
      <w:tr w:rsidR="004A46C8" w14:paraId="5ACF09CA" w14:textId="77777777" w:rsidTr="004A46C8">
        <w:tc>
          <w:tcPr>
            <w:tcW w:w="2913" w:type="dxa"/>
          </w:tcPr>
          <w:p w14:paraId="5F5EEBE0" w14:textId="2983633B" w:rsidR="004A46C8" w:rsidRPr="004A46C8" w:rsidRDefault="004A46C8" w:rsidP="004A46C8">
            <w:pPr>
              <w:pStyle w:val="NoSpacing"/>
              <w:rPr>
                <w:rFonts w:cs="Arial"/>
                <w:b/>
                <w:bCs/>
                <w:sz w:val="20"/>
                <w:szCs w:val="20"/>
              </w:rPr>
            </w:pPr>
            <w:r w:rsidRPr="004A46C8">
              <w:rPr>
                <w:rFonts w:cs="Arial"/>
                <w:b/>
                <w:bCs/>
                <w:sz w:val="20"/>
                <w:szCs w:val="20"/>
              </w:rPr>
              <w:t>Maidenhead Town Centre</w:t>
            </w:r>
          </w:p>
        </w:tc>
        <w:tc>
          <w:tcPr>
            <w:tcW w:w="1399" w:type="dxa"/>
            <w:vAlign w:val="bottom"/>
          </w:tcPr>
          <w:p w14:paraId="578BECC1" w14:textId="1445A4F1" w:rsidR="004A46C8" w:rsidRPr="004A46C8" w:rsidRDefault="004A46C8" w:rsidP="004A46C8">
            <w:pPr>
              <w:pStyle w:val="NoSpacing"/>
              <w:jc w:val="center"/>
              <w:rPr>
                <w:rFonts w:cs="Arial"/>
                <w:b/>
                <w:bCs/>
                <w:sz w:val="20"/>
                <w:szCs w:val="20"/>
              </w:rPr>
            </w:pPr>
            <w:r w:rsidRPr="004A46C8">
              <w:rPr>
                <w:rFonts w:cs="Arial"/>
                <w:sz w:val="20"/>
                <w:szCs w:val="20"/>
              </w:rPr>
              <w:t>12,243</w:t>
            </w:r>
          </w:p>
        </w:tc>
        <w:tc>
          <w:tcPr>
            <w:tcW w:w="1400" w:type="dxa"/>
            <w:vAlign w:val="bottom"/>
          </w:tcPr>
          <w:p w14:paraId="2E069609" w14:textId="4ED5689F" w:rsidR="004A46C8" w:rsidRPr="004A46C8" w:rsidRDefault="004A46C8" w:rsidP="004A46C8">
            <w:pPr>
              <w:pStyle w:val="NoSpacing"/>
              <w:jc w:val="center"/>
              <w:rPr>
                <w:rFonts w:cs="Arial"/>
                <w:b/>
                <w:bCs/>
                <w:sz w:val="20"/>
                <w:szCs w:val="20"/>
              </w:rPr>
            </w:pPr>
            <w:r w:rsidRPr="004A46C8">
              <w:rPr>
                <w:rFonts w:cs="Arial"/>
                <w:sz w:val="20"/>
                <w:szCs w:val="20"/>
              </w:rPr>
              <w:t>13,705</w:t>
            </w:r>
          </w:p>
        </w:tc>
        <w:tc>
          <w:tcPr>
            <w:tcW w:w="1400" w:type="dxa"/>
            <w:vAlign w:val="bottom"/>
          </w:tcPr>
          <w:p w14:paraId="4DB69CA7" w14:textId="6C1B8901" w:rsidR="004A46C8" w:rsidRPr="004A46C8" w:rsidRDefault="004A46C8" w:rsidP="004A46C8">
            <w:pPr>
              <w:pStyle w:val="NoSpacing"/>
              <w:jc w:val="center"/>
              <w:rPr>
                <w:rFonts w:cs="Arial"/>
                <w:b/>
                <w:bCs/>
                <w:sz w:val="20"/>
                <w:szCs w:val="20"/>
              </w:rPr>
            </w:pPr>
            <w:r w:rsidRPr="004A46C8">
              <w:rPr>
                <w:rFonts w:cs="Arial"/>
                <w:sz w:val="20"/>
                <w:szCs w:val="20"/>
              </w:rPr>
              <w:t>14,735</w:t>
            </w:r>
          </w:p>
        </w:tc>
        <w:tc>
          <w:tcPr>
            <w:tcW w:w="1400" w:type="dxa"/>
            <w:vAlign w:val="bottom"/>
          </w:tcPr>
          <w:p w14:paraId="71A49426" w14:textId="7763E51E" w:rsidR="004A46C8" w:rsidRPr="004A46C8" w:rsidRDefault="004A46C8" w:rsidP="004A46C8">
            <w:pPr>
              <w:pStyle w:val="NoSpacing"/>
              <w:jc w:val="center"/>
              <w:rPr>
                <w:rFonts w:cs="Arial"/>
                <w:b/>
                <w:bCs/>
                <w:sz w:val="20"/>
                <w:szCs w:val="20"/>
              </w:rPr>
            </w:pPr>
            <w:r w:rsidRPr="004A46C8">
              <w:rPr>
                <w:rFonts w:cs="Arial"/>
                <w:sz w:val="20"/>
                <w:szCs w:val="20"/>
              </w:rPr>
              <w:t>8,766</w:t>
            </w:r>
          </w:p>
        </w:tc>
        <w:tc>
          <w:tcPr>
            <w:tcW w:w="1400" w:type="dxa"/>
            <w:vAlign w:val="bottom"/>
          </w:tcPr>
          <w:p w14:paraId="51D45BB5" w14:textId="4E59B68B" w:rsidR="004A46C8" w:rsidRPr="004A46C8" w:rsidRDefault="004A46C8" w:rsidP="004A46C8">
            <w:pPr>
              <w:pStyle w:val="NoSpacing"/>
              <w:jc w:val="center"/>
              <w:rPr>
                <w:rFonts w:cs="Arial"/>
                <w:b/>
                <w:bCs/>
                <w:sz w:val="20"/>
                <w:szCs w:val="20"/>
              </w:rPr>
            </w:pPr>
            <w:r w:rsidRPr="004A46C8">
              <w:rPr>
                <w:rFonts w:cs="Arial"/>
                <w:sz w:val="20"/>
                <w:szCs w:val="20"/>
              </w:rPr>
              <w:t>2,727</w:t>
            </w:r>
          </w:p>
        </w:tc>
      </w:tr>
      <w:tr w:rsidR="004A46C8" w14:paraId="058D98B9" w14:textId="77777777" w:rsidTr="004A46C8">
        <w:tc>
          <w:tcPr>
            <w:tcW w:w="2913" w:type="dxa"/>
          </w:tcPr>
          <w:p w14:paraId="53B77ED2" w14:textId="62F1075A" w:rsidR="004A46C8" w:rsidRPr="004A46C8" w:rsidRDefault="004A46C8" w:rsidP="004A46C8">
            <w:pPr>
              <w:pStyle w:val="NoSpacing"/>
              <w:rPr>
                <w:rFonts w:cs="Arial"/>
                <w:b/>
                <w:bCs/>
                <w:sz w:val="20"/>
                <w:szCs w:val="20"/>
              </w:rPr>
            </w:pPr>
            <w:r w:rsidRPr="004A46C8">
              <w:rPr>
                <w:rFonts w:cs="Arial"/>
                <w:b/>
                <w:bCs/>
                <w:sz w:val="20"/>
                <w:szCs w:val="20"/>
              </w:rPr>
              <w:t>Maidenhead</w:t>
            </w:r>
          </w:p>
        </w:tc>
        <w:tc>
          <w:tcPr>
            <w:tcW w:w="1399" w:type="dxa"/>
            <w:vAlign w:val="bottom"/>
          </w:tcPr>
          <w:p w14:paraId="41892278" w14:textId="62BCDC11" w:rsidR="004A46C8" w:rsidRPr="004A46C8" w:rsidRDefault="004A46C8" w:rsidP="004A46C8">
            <w:pPr>
              <w:pStyle w:val="NoSpacing"/>
              <w:jc w:val="center"/>
              <w:rPr>
                <w:rFonts w:cs="Arial"/>
                <w:b/>
                <w:bCs/>
                <w:sz w:val="20"/>
                <w:szCs w:val="20"/>
              </w:rPr>
            </w:pPr>
            <w:r w:rsidRPr="004A46C8">
              <w:rPr>
                <w:rFonts w:cs="Arial"/>
                <w:sz w:val="20"/>
                <w:szCs w:val="20"/>
              </w:rPr>
              <w:t>18,583</w:t>
            </w:r>
          </w:p>
        </w:tc>
        <w:tc>
          <w:tcPr>
            <w:tcW w:w="1400" w:type="dxa"/>
            <w:vAlign w:val="bottom"/>
          </w:tcPr>
          <w:p w14:paraId="44FC29D0" w14:textId="025375C2" w:rsidR="004A46C8" w:rsidRPr="004A46C8" w:rsidRDefault="004A46C8" w:rsidP="004A46C8">
            <w:pPr>
              <w:pStyle w:val="NoSpacing"/>
              <w:jc w:val="center"/>
              <w:rPr>
                <w:rFonts w:cs="Arial"/>
                <w:b/>
                <w:bCs/>
                <w:sz w:val="20"/>
                <w:szCs w:val="20"/>
              </w:rPr>
            </w:pPr>
            <w:r w:rsidRPr="004A46C8">
              <w:rPr>
                <w:rFonts w:cs="Arial"/>
                <w:sz w:val="20"/>
                <w:szCs w:val="20"/>
              </w:rPr>
              <w:t>19,155</w:t>
            </w:r>
          </w:p>
        </w:tc>
        <w:tc>
          <w:tcPr>
            <w:tcW w:w="1400" w:type="dxa"/>
            <w:vAlign w:val="bottom"/>
          </w:tcPr>
          <w:p w14:paraId="18DCF0B3" w14:textId="56D9576F" w:rsidR="004A46C8" w:rsidRPr="004A46C8" w:rsidRDefault="004A46C8" w:rsidP="004A46C8">
            <w:pPr>
              <w:pStyle w:val="NoSpacing"/>
              <w:jc w:val="center"/>
              <w:rPr>
                <w:rFonts w:cs="Arial"/>
                <w:b/>
                <w:bCs/>
                <w:sz w:val="20"/>
                <w:szCs w:val="20"/>
              </w:rPr>
            </w:pPr>
            <w:r w:rsidRPr="004A46C8">
              <w:rPr>
                <w:rFonts w:cs="Arial"/>
                <w:sz w:val="20"/>
                <w:szCs w:val="20"/>
              </w:rPr>
              <w:t>23,266</w:t>
            </w:r>
          </w:p>
        </w:tc>
        <w:tc>
          <w:tcPr>
            <w:tcW w:w="1400" w:type="dxa"/>
            <w:vAlign w:val="bottom"/>
          </w:tcPr>
          <w:p w14:paraId="6F0AB839" w14:textId="6AFC33DC" w:rsidR="004A46C8" w:rsidRPr="004A46C8" w:rsidRDefault="004A46C8" w:rsidP="004A46C8">
            <w:pPr>
              <w:pStyle w:val="NoSpacing"/>
              <w:jc w:val="center"/>
              <w:rPr>
                <w:rFonts w:cs="Arial"/>
                <w:b/>
                <w:bCs/>
                <w:sz w:val="20"/>
                <w:szCs w:val="20"/>
              </w:rPr>
            </w:pPr>
            <w:r w:rsidRPr="004A46C8">
              <w:rPr>
                <w:rFonts w:cs="Arial"/>
                <w:sz w:val="20"/>
                <w:szCs w:val="20"/>
              </w:rPr>
              <w:t>15,020</w:t>
            </w:r>
          </w:p>
        </w:tc>
        <w:tc>
          <w:tcPr>
            <w:tcW w:w="1400" w:type="dxa"/>
            <w:vAlign w:val="bottom"/>
          </w:tcPr>
          <w:p w14:paraId="094A6190" w14:textId="685E7D66" w:rsidR="004A46C8" w:rsidRPr="004A46C8" w:rsidRDefault="004A46C8" w:rsidP="004A46C8">
            <w:pPr>
              <w:pStyle w:val="NoSpacing"/>
              <w:jc w:val="center"/>
              <w:rPr>
                <w:rFonts w:cs="Arial"/>
                <w:b/>
                <w:bCs/>
                <w:sz w:val="20"/>
                <w:szCs w:val="20"/>
              </w:rPr>
            </w:pPr>
            <w:r w:rsidRPr="004A46C8">
              <w:rPr>
                <w:rFonts w:cs="Arial"/>
                <w:sz w:val="20"/>
                <w:szCs w:val="20"/>
              </w:rPr>
              <w:t>4,354</w:t>
            </w:r>
          </w:p>
        </w:tc>
      </w:tr>
    </w:tbl>
    <w:p w14:paraId="1D4287EA" w14:textId="77777777" w:rsidR="001C75B1" w:rsidRPr="001C75B1" w:rsidRDefault="001C75B1" w:rsidP="001C75B1">
      <w:pPr>
        <w:pStyle w:val="NoSpacing"/>
        <w:rPr>
          <w:rFonts w:cs="Arial"/>
          <w:i/>
          <w:iCs/>
          <w:sz w:val="4"/>
          <w:szCs w:val="4"/>
        </w:rPr>
      </w:pPr>
    </w:p>
    <w:p w14:paraId="06B52E9A" w14:textId="6FC96C09" w:rsidR="001C75B1" w:rsidRPr="00670776" w:rsidRDefault="001C75B1" w:rsidP="001C75B1">
      <w:pPr>
        <w:pStyle w:val="NoSpacing"/>
        <w:rPr>
          <w:rFonts w:cs="Arial"/>
          <w:i/>
          <w:iCs/>
          <w:sz w:val="20"/>
          <w:szCs w:val="20"/>
        </w:rPr>
      </w:pPr>
      <w:r w:rsidRPr="00670776">
        <w:rPr>
          <w:rFonts w:cs="Arial"/>
          <w:i/>
          <w:iCs/>
          <w:sz w:val="20"/>
          <w:szCs w:val="20"/>
        </w:rPr>
        <w:t xml:space="preserve">Source: </w:t>
      </w:r>
      <w:r>
        <w:rPr>
          <w:rFonts w:cs="Arial"/>
          <w:i/>
          <w:iCs/>
          <w:sz w:val="20"/>
          <w:szCs w:val="20"/>
        </w:rPr>
        <w:t xml:space="preserve">Office for National Statistics (2021); </w:t>
      </w:r>
      <w:hyperlink r:id="rId10" w:history="1">
        <w:r w:rsidRPr="00E57650">
          <w:rPr>
            <w:rStyle w:val="Hyperlink"/>
            <w:rFonts w:cs="Arial"/>
            <w:i/>
            <w:iCs/>
            <w:sz w:val="20"/>
            <w:szCs w:val="20"/>
          </w:rPr>
          <w:t>Ward level population estimates</w:t>
        </w:r>
      </w:hyperlink>
    </w:p>
    <w:p w14:paraId="3C566566" w14:textId="3DAABEE5" w:rsidR="001C75B1" w:rsidRPr="00526C8B" w:rsidRDefault="001C75B1" w:rsidP="00EE07A4">
      <w:pPr>
        <w:pStyle w:val="NoSpacing"/>
        <w:rPr>
          <w:rFonts w:cs="Arial"/>
          <w:sz w:val="18"/>
          <w:szCs w:val="18"/>
        </w:rPr>
      </w:pPr>
    </w:p>
    <w:p w14:paraId="5A6A3214" w14:textId="77777777" w:rsidR="00227CCD" w:rsidRPr="00526C8B" w:rsidRDefault="00227CCD" w:rsidP="00EE07A4">
      <w:pPr>
        <w:pStyle w:val="NoSpacing"/>
        <w:rPr>
          <w:rFonts w:cs="Arial"/>
          <w:sz w:val="18"/>
          <w:szCs w:val="18"/>
        </w:rPr>
      </w:pPr>
    </w:p>
    <w:p w14:paraId="2458BCC3" w14:textId="58F94E4E" w:rsidR="00C56027" w:rsidRPr="00FE2F6F" w:rsidRDefault="00696F0E" w:rsidP="00C56027">
      <w:pPr>
        <w:pStyle w:val="NoSpacing"/>
        <w:rPr>
          <w:rFonts w:cs="Arial"/>
        </w:rPr>
      </w:pPr>
      <w:r>
        <w:rPr>
          <w:rFonts w:cs="Arial"/>
        </w:rPr>
        <w:t xml:space="preserve">Figure 2 illustrates the population profiles for </w:t>
      </w:r>
      <w:r w:rsidR="00344F2E">
        <w:rPr>
          <w:rFonts w:cs="Arial"/>
        </w:rPr>
        <w:t xml:space="preserve">Maidenhead </w:t>
      </w:r>
      <w:r>
        <w:rPr>
          <w:rFonts w:cs="Arial"/>
        </w:rPr>
        <w:t>Town Centre and Maidenhead area</w:t>
      </w:r>
      <w:r w:rsidR="00344F2E">
        <w:rPr>
          <w:rFonts w:cs="Arial"/>
        </w:rPr>
        <w:t>.</w:t>
      </w:r>
      <w:r>
        <w:rPr>
          <w:rFonts w:cs="Arial"/>
        </w:rPr>
        <w:t xml:space="preserve"> </w:t>
      </w:r>
      <w:r w:rsidR="00C56027" w:rsidRPr="00FE2F6F">
        <w:rPr>
          <w:rFonts w:cs="Arial"/>
        </w:rPr>
        <w:t>Maidenhead Town Centre has a higher proportion of people aged 25 to 39, compared to RBWM and the Frimley ICS area. This is particularly higher for females. The proportion of young children (aged under 9) is also higher in the town centre than across the whole of RBWM. Maidenhead’s population profile is broadly the same as the RBWM picture</w:t>
      </w:r>
      <w:r w:rsidR="00C56027">
        <w:rPr>
          <w:rFonts w:cs="Arial"/>
        </w:rPr>
        <w:t>. Maidenhead is older than the overall Fr</w:t>
      </w:r>
      <w:r w:rsidR="00C56027" w:rsidRPr="00FE2F6F">
        <w:rPr>
          <w:rFonts w:cs="Arial"/>
        </w:rPr>
        <w:t xml:space="preserve">imley ICS population </w:t>
      </w:r>
      <w:r w:rsidR="00C56027">
        <w:rPr>
          <w:rFonts w:cs="Arial"/>
        </w:rPr>
        <w:t>with a lower proportion of people in the under 35 age group.</w:t>
      </w:r>
      <w:r w:rsidR="00C56027" w:rsidRPr="00FE2F6F">
        <w:rPr>
          <w:rFonts w:cs="Arial"/>
        </w:rPr>
        <w:t xml:space="preserve"> </w:t>
      </w:r>
    </w:p>
    <w:p w14:paraId="325AD10A" w14:textId="77777777" w:rsidR="00C56027" w:rsidRDefault="00C56027" w:rsidP="00EE07A4">
      <w:pPr>
        <w:pStyle w:val="NoSpacing"/>
        <w:rPr>
          <w:rFonts w:cs="Arial"/>
        </w:rPr>
      </w:pPr>
    </w:p>
    <w:p w14:paraId="7CAA0936" w14:textId="24BA2B4A" w:rsidR="003375A4" w:rsidRDefault="003375A4" w:rsidP="00EE07A4">
      <w:pPr>
        <w:pStyle w:val="NoSpacing"/>
        <w:rPr>
          <w:rFonts w:cs="Arial"/>
          <w:b/>
          <w:bCs/>
          <w:color w:val="4F81BD" w:themeColor="accent1"/>
          <w:sz w:val="24"/>
          <w:szCs w:val="24"/>
        </w:rPr>
      </w:pPr>
      <w:r w:rsidRPr="00567774">
        <w:rPr>
          <w:rFonts w:cs="Arial"/>
          <w:b/>
          <w:bCs/>
          <w:sz w:val="20"/>
          <w:szCs w:val="20"/>
        </w:rPr>
        <w:t xml:space="preserve">Figure </w:t>
      </w:r>
      <w:r w:rsidR="001C75B1">
        <w:rPr>
          <w:rFonts w:cs="Arial"/>
          <w:b/>
          <w:bCs/>
          <w:sz w:val="20"/>
          <w:szCs w:val="20"/>
        </w:rPr>
        <w:t>2</w:t>
      </w:r>
      <w:r w:rsidRPr="00567774">
        <w:rPr>
          <w:rFonts w:cs="Arial"/>
          <w:b/>
          <w:bCs/>
          <w:sz w:val="20"/>
          <w:szCs w:val="20"/>
        </w:rPr>
        <w:t xml:space="preserve">: </w:t>
      </w:r>
      <w:r>
        <w:rPr>
          <w:rFonts w:cs="Arial"/>
          <w:b/>
          <w:bCs/>
          <w:sz w:val="20"/>
          <w:szCs w:val="20"/>
        </w:rPr>
        <w:t>Population pyramid for Maidenhead Town Centre and Maidenhead (2020 mid-year estimates)</w:t>
      </w:r>
    </w:p>
    <w:p w14:paraId="518531E3" w14:textId="77777777" w:rsidR="003375A4" w:rsidRPr="00EE07A4" w:rsidRDefault="003375A4" w:rsidP="00EE07A4">
      <w:pPr>
        <w:pStyle w:val="NoSpacing"/>
        <w:rPr>
          <w:rFonts w:cs="Arial"/>
          <w:b/>
          <w:bCs/>
          <w:color w:val="4F81BD" w:themeColor="accent1"/>
          <w:sz w:val="24"/>
          <w:szCs w:val="24"/>
        </w:rPr>
      </w:pPr>
    </w:p>
    <w:p w14:paraId="52481B9C" w14:textId="4C0168DD" w:rsidR="00EE07A4" w:rsidRDefault="002803F3" w:rsidP="00EE07A4">
      <w:pPr>
        <w:pStyle w:val="NoSpacing"/>
        <w:rPr>
          <w:rFonts w:cs="Arial"/>
          <w:sz w:val="24"/>
          <w:szCs w:val="24"/>
        </w:rPr>
      </w:pPr>
      <w:r>
        <w:rPr>
          <w:rFonts w:cs="Arial"/>
          <w:noProof/>
          <w:sz w:val="24"/>
          <w:szCs w:val="24"/>
        </w:rPr>
        <w:drawing>
          <wp:inline distT="0" distB="0" distL="0" distR="0" wp14:anchorId="5529EB75" wp14:editId="615DFC82">
            <wp:extent cx="3125416" cy="279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710" cy="2808946"/>
                    </a:xfrm>
                    <a:prstGeom prst="rect">
                      <a:avLst/>
                    </a:prstGeom>
                    <a:noFill/>
                  </pic:spPr>
                </pic:pic>
              </a:graphicData>
            </a:graphic>
          </wp:inline>
        </w:drawing>
      </w:r>
      <w:r w:rsidR="00846F17">
        <w:rPr>
          <w:rFonts w:cs="Arial"/>
          <w:noProof/>
          <w:sz w:val="24"/>
          <w:szCs w:val="24"/>
        </w:rPr>
        <w:drawing>
          <wp:inline distT="0" distB="0" distL="0" distR="0" wp14:anchorId="2D4A98A7" wp14:editId="1ACA2926">
            <wp:extent cx="3124835" cy="27903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4622" cy="2799045"/>
                    </a:xfrm>
                    <a:prstGeom prst="rect">
                      <a:avLst/>
                    </a:prstGeom>
                    <a:noFill/>
                  </pic:spPr>
                </pic:pic>
              </a:graphicData>
            </a:graphic>
          </wp:inline>
        </w:drawing>
      </w:r>
    </w:p>
    <w:p w14:paraId="14AFDC35" w14:textId="77777777" w:rsidR="003375A4" w:rsidRPr="001C75B1" w:rsidRDefault="003375A4" w:rsidP="003375A4">
      <w:pPr>
        <w:pStyle w:val="NoSpacing"/>
        <w:rPr>
          <w:rFonts w:cs="Arial"/>
          <w:i/>
          <w:iCs/>
          <w:sz w:val="4"/>
          <w:szCs w:val="4"/>
        </w:rPr>
      </w:pPr>
    </w:p>
    <w:p w14:paraId="2DD0E3D1" w14:textId="188B8FFC" w:rsidR="003375A4" w:rsidRPr="00670776" w:rsidRDefault="003375A4" w:rsidP="003375A4">
      <w:pPr>
        <w:pStyle w:val="NoSpacing"/>
        <w:rPr>
          <w:rFonts w:cs="Arial"/>
          <w:i/>
          <w:iCs/>
          <w:sz w:val="20"/>
          <w:szCs w:val="20"/>
        </w:rPr>
      </w:pPr>
      <w:r w:rsidRPr="00670776">
        <w:rPr>
          <w:rFonts w:cs="Arial"/>
          <w:i/>
          <w:iCs/>
          <w:sz w:val="20"/>
          <w:szCs w:val="20"/>
        </w:rPr>
        <w:t xml:space="preserve">Source: </w:t>
      </w:r>
      <w:r>
        <w:rPr>
          <w:rFonts w:cs="Arial"/>
          <w:i/>
          <w:iCs/>
          <w:sz w:val="20"/>
          <w:szCs w:val="20"/>
        </w:rPr>
        <w:t>Office for Nation</w:t>
      </w:r>
      <w:r w:rsidR="00E57650">
        <w:rPr>
          <w:rFonts w:cs="Arial"/>
          <w:i/>
          <w:iCs/>
          <w:sz w:val="20"/>
          <w:szCs w:val="20"/>
        </w:rPr>
        <w:t>al</w:t>
      </w:r>
      <w:r>
        <w:rPr>
          <w:rFonts w:cs="Arial"/>
          <w:i/>
          <w:iCs/>
          <w:sz w:val="20"/>
          <w:szCs w:val="20"/>
        </w:rPr>
        <w:t xml:space="preserve"> Statistics</w:t>
      </w:r>
      <w:r w:rsidR="00E57650">
        <w:rPr>
          <w:rFonts w:cs="Arial"/>
          <w:i/>
          <w:iCs/>
          <w:sz w:val="20"/>
          <w:szCs w:val="20"/>
        </w:rPr>
        <w:t xml:space="preserve"> (2021); </w:t>
      </w:r>
      <w:hyperlink r:id="rId13" w:history="1">
        <w:r w:rsidR="00E57650" w:rsidRPr="00E57650">
          <w:rPr>
            <w:rStyle w:val="Hyperlink"/>
            <w:rFonts w:cs="Arial"/>
            <w:i/>
            <w:iCs/>
            <w:sz w:val="20"/>
            <w:szCs w:val="20"/>
          </w:rPr>
          <w:t>Ward level population estimates</w:t>
        </w:r>
      </w:hyperlink>
    </w:p>
    <w:p w14:paraId="0BEEECCE" w14:textId="17D75A89" w:rsidR="00652D88" w:rsidRDefault="00652D88" w:rsidP="00EE07A4">
      <w:pPr>
        <w:pStyle w:val="NoSpacing"/>
        <w:rPr>
          <w:rFonts w:cs="Arial"/>
          <w:b/>
          <w:bCs/>
          <w:i/>
          <w:iCs/>
          <w:color w:val="4F81BD" w:themeColor="accent1"/>
        </w:rPr>
      </w:pPr>
    </w:p>
    <w:p w14:paraId="3BB8EC1F" w14:textId="77777777" w:rsidR="00526C8B" w:rsidRDefault="00526C8B" w:rsidP="00EE07A4">
      <w:pPr>
        <w:pStyle w:val="NoSpacing"/>
        <w:rPr>
          <w:rFonts w:cs="Arial"/>
          <w:b/>
          <w:bCs/>
          <w:i/>
          <w:iCs/>
          <w:color w:val="4F81BD" w:themeColor="accent1"/>
        </w:rPr>
      </w:pPr>
    </w:p>
    <w:p w14:paraId="2F7D093F" w14:textId="289C36CC" w:rsidR="007E4DB6" w:rsidRPr="00A45218" w:rsidRDefault="00344F2E" w:rsidP="00EE07A4">
      <w:pPr>
        <w:pStyle w:val="NoSpacing"/>
        <w:rPr>
          <w:rFonts w:cs="Arial"/>
          <w:b/>
          <w:bCs/>
          <w:i/>
          <w:iCs/>
          <w:color w:val="4F81BD" w:themeColor="accent1"/>
        </w:rPr>
      </w:pPr>
      <w:r w:rsidRPr="00A45218">
        <w:rPr>
          <w:rFonts w:cs="Arial"/>
          <w:b/>
          <w:bCs/>
          <w:i/>
          <w:iCs/>
          <w:color w:val="4F81BD" w:themeColor="accent1"/>
        </w:rPr>
        <w:lastRenderedPageBreak/>
        <w:t>Ethnicity</w:t>
      </w:r>
    </w:p>
    <w:p w14:paraId="270ABAE3" w14:textId="7B84AACE" w:rsidR="00D76606" w:rsidRPr="00652D88" w:rsidRDefault="00695A44" w:rsidP="00EE07A4">
      <w:pPr>
        <w:pStyle w:val="NoSpacing"/>
        <w:rPr>
          <w:rFonts w:cs="Arial"/>
          <w:i/>
          <w:iCs/>
          <w:sz w:val="21"/>
          <w:szCs w:val="21"/>
        </w:rPr>
      </w:pPr>
      <w:r w:rsidRPr="00652D88">
        <w:rPr>
          <w:rFonts w:cs="Arial"/>
          <w:i/>
          <w:iCs/>
          <w:sz w:val="21"/>
          <w:szCs w:val="21"/>
        </w:rPr>
        <w:t>The latest ethnicity information is based on the 2011 Census, which may not reflect the current population. It i</w:t>
      </w:r>
      <w:r w:rsidR="00D76606" w:rsidRPr="00652D88">
        <w:rPr>
          <w:rFonts w:cs="Arial"/>
          <w:i/>
          <w:iCs/>
          <w:sz w:val="21"/>
          <w:szCs w:val="21"/>
        </w:rPr>
        <w:t xml:space="preserve">s anticipated that the 2021 Census will show </w:t>
      </w:r>
      <w:r w:rsidR="0033721C" w:rsidRPr="00652D88">
        <w:rPr>
          <w:rFonts w:cs="Arial"/>
          <w:i/>
          <w:iCs/>
          <w:sz w:val="21"/>
          <w:szCs w:val="21"/>
        </w:rPr>
        <w:t xml:space="preserve">increases in the </w:t>
      </w:r>
      <w:r w:rsidR="00D76606" w:rsidRPr="00652D88">
        <w:rPr>
          <w:rFonts w:cs="Arial"/>
          <w:i/>
          <w:iCs/>
          <w:sz w:val="21"/>
          <w:szCs w:val="21"/>
        </w:rPr>
        <w:t xml:space="preserve">proportion of </w:t>
      </w:r>
      <w:r w:rsidR="0033721C" w:rsidRPr="00652D88">
        <w:rPr>
          <w:rFonts w:cs="Arial"/>
          <w:i/>
          <w:iCs/>
          <w:sz w:val="21"/>
          <w:szCs w:val="21"/>
        </w:rPr>
        <w:t xml:space="preserve">the population from </w:t>
      </w:r>
      <w:r w:rsidR="00D76606" w:rsidRPr="00652D88">
        <w:rPr>
          <w:rFonts w:cs="Arial"/>
          <w:i/>
          <w:iCs/>
          <w:sz w:val="21"/>
          <w:szCs w:val="21"/>
        </w:rPr>
        <w:t xml:space="preserve">Black, Asian and Minority Ethnic (BAME) groups </w:t>
      </w:r>
      <w:r w:rsidR="0033721C" w:rsidRPr="00652D88">
        <w:rPr>
          <w:rFonts w:cs="Arial"/>
          <w:i/>
          <w:iCs/>
          <w:sz w:val="21"/>
          <w:szCs w:val="21"/>
        </w:rPr>
        <w:t xml:space="preserve">and non-White British groups. </w:t>
      </w:r>
    </w:p>
    <w:p w14:paraId="46502ED9" w14:textId="77777777" w:rsidR="00D76606" w:rsidRDefault="00D76606" w:rsidP="00EE07A4">
      <w:pPr>
        <w:pStyle w:val="NoSpacing"/>
        <w:rPr>
          <w:rFonts w:cs="Arial"/>
        </w:rPr>
      </w:pPr>
    </w:p>
    <w:p w14:paraId="03A86601" w14:textId="207126B4" w:rsidR="001B0184" w:rsidRDefault="00A5186C" w:rsidP="00EE07A4">
      <w:pPr>
        <w:pStyle w:val="NoSpacing"/>
        <w:rPr>
          <w:rFonts w:cs="Arial"/>
        </w:rPr>
      </w:pPr>
      <w:r w:rsidRPr="00BA56D0">
        <w:rPr>
          <w:rFonts w:cs="Arial"/>
        </w:rPr>
        <w:t>In 2011, 18</w:t>
      </w:r>
      <w:r w:rsidR="001412F9" w:rsidRPr="00BA56D0">
        <w:rPr>
          <w:rFonts w:cs="Arial"/>
        </w:rPr>
        <w:t xml:space="preserve">.7% of Maidenhead Town Centre’s population were recorded as coming from a </w:t>
      </w:r>
      <w:r w:rsidR="00CE47CE">
        <w:rPr>
          <w:rFonts w:cs="Arial"/>
        </w:rPr>
        <w:t>BAME g</w:t>
      </w:r>
      <w:r w:rsidR="001412F9" w:rsidRPr="00BA56D0">
        <w:rPr>
          <w:rFonts w:cs="Arial"/>
        </w:rPr>
        <w:t>roup.</w:t>
      </w:r>
      <w:r w:rsidR="00A576CB">
        <w:rPr>
          <w:rFonts w:cs="Arial"/>
        </w:rPr>
        <w:t xml:space="preserve"> People from an Asian/Asian British background </w:t>
      </w:r>
      <w:r w:rsidR="00115657">
        <w:rPr>
          <w:rFonts w:cs="Arial"/>
        </w:rPr>
        <w:t>were the largest non-White</w:t>
      </w:r>
      <w:r w:rsidR="006F1AE5">
        <w:rPr>
          <w:rFonts w:cs="Arial"/>
        </w:rPr>
        <w:t xml:space="preserve"> </w:t>
      </w:r>
      <w:r w:rsidR="00115657">
        <w:rPr>
          <w:rFonts w:cs="Arial"/>
        </w:rPr>
        <w:t>population and were estimated to make-up 14.4% of the t</w:t>
      </w:r>
      <w:r w:rsidR="006F1AE5">
        <w:rPr>
          <w:rFonts w:cs="Arial"/>
        </w:rPr>
        <w:t>own</w:t>
      </w:r>
      <w:r w:rsidR="00115657">
        <w:rPr>
          <w:rFonts w:cs="Arial"/>
        </w:rPr>
        <w:t xml:space="preserve"> centre’s population. </w:t>
      </w:r>
      <w:r w:rsidR="00A86AA4">
        <w:rPr>
          <w:rFonts w:cs="Arial"/>
        </w:rPr>
        <w:t>In addition, 8.1% of the population were from a non-White British background.</w:t>
      </w:r>
      <w:r w:rsidR="001D4243">
        <w:rPr>
          <w:rFonts w:cs="Arial"/>
        </w:rPr>
        <w:t xml:space="preserve"> The Town Centre is more ethnically diverse than the wider Maidenhead area and RBWM as a whole</w:t>
      </w:r>
      <w:r w:rsidR="001B0184">
        <w:rPr>
          <w:rFonts w:cs="Arial"/>
        </w:rPr>
        <w:t>, while similar to the Frimley ICS footprint</w:t>
      </w:r>
      <w:r w:rsidR="00A45218">
        <w:rPr>
          <w:rFonts w:cs="Arial"/>
        </w:rPr>
        <w:t>.</w:t>
      </w:r>
    </w:p>
    <w:p w14:paraId="24182ED5" w14:textId="77777777" w:rsidR="001B0184" w:rsidRDefault="001B0184" w:rsidP="00EE07A4">
      <w:pPr>
        <w:pStyle w:val="NoSpacing"/>
        <w:rPr>
          <w:rFonts w:cs="Arial"/>
        </w:rPr>
      </w:pPr>
    </w:p>
    <w:p w14:paraId="112890B8" w14:textId="2AEED608" w:rsidR="007E4DB6" w:rsidRPr="00BA56D0" w:rsidRDefault="00B7510B" w:rsidP="00EE07A4">
      <w:pPr>
        <w:pStyle w:val="NoSpacing"/>
        <w:rPr>
          <w:rFonts w:cs="Arial"/>
        </w:rPr>
      </w:pPr>
      <w:r>
        <w:rPr>
          <w:rFonts w:cs="Arial"/>
        </w:rPr>
        <w:t xml:space="preserve">The wider Maidenhead area’s ethnic profile </w:t>
      </w:r>
      <w:r w:rsidR="00633DBF">
        <w:rPr>
          <w:rFonts w:cs="Arial"/>
        </w:rPr>
        <w:t xml:space="preserve">is more reflective of </w:t>
      </w:r>
      <w:r w:rsidR="0011124E">
        <w:rPr>
          <w:rFonts w:cs="Arial"/>
        </w:rPr>
        <w:t>RBWM’s overall population, with slightly higher proportions of people from an Asian/Asian British group</w:t>
      </w:r>
      <w:r w:rsidR="00633DBF">
        <w:rPr>
          <w:rFonts w:cs="Arial"/>
        </w:rPr>
        <w:t xml:space="preserve">. </w:t>
      </w:r>
      <w:r w:rsidR="00A45218">
        <w:rPr>
          <w:rFonts w:cs="Arial"/>
        </w:rPr>
        <w:t>13.9% of the Maidenhead population are from a BAME group, which is significantly lower than Frimley ICS (</w:t>
      </w:r>
      <w:hyperlink r:id="rId14" w:history="1">
        <w:r w:rsidR="00971C01">
          <w:rPr>
            <w:rStyle w:val="Hyperlink"/>
            <w:rFonts w:cs="Arial"/>
          </w:rPr>
          <w:t>ONS</w:t>
        </w:r>
      </w:hyperlink>
      <w:r w:rsidR="00A45218">
        <w:rPr>
          <w:rFonts w:cs="Arial"/>
        </w:rPr>
        <w:t xml:space="preserve"> 2012).</w:t>
      </w:r>
    </w:p>
    <w:p w14:paraId="1ECA925A" w14:textId="5C5D433C" w:rsidR="00EE07A4" w:rsidRPr="00526C8B" w:rsidRDefault="00EE07A4" w:rsidP="00EE07A4">
      <w:pPr>
        <w:pStyle w:val="NoSpacing"/>
        <w:rPr>
          <w:rFonts w:cs="Arial"/>
          <w:sz w:val="18"/>
          <w:szCs w:val="18"/>
        </w:rPr>
      </w:pPr>
    </w:p>
    <w:p w14:paraId="706C60BF" w14:textId="77777777" w:rsidR="0067488E" w:rsidRPr="00526C8B" w:rsidRDefault="0067488E" w:rsidP="00EE07A4">
      <w:pPr>
        <w:pStyle w:val="NoSpacing"/>
        <w:rPr>
          <w:rFonts w:cs="Arial"/>
          <w:b/>
          <w:bCs/>
          <w:color w:val="4F81BD" w:themeColor="accent1"/>
          <w:sz w:val="18"/>
          <w:szCs w:val="18"/>
        </w:rPr>
      </w:pPr>
    </w:p>
    <w:p w14:paraId="4659FB91" w14:textId="2C05AA8B" w:rsidR="00EE07A4" w:rsidRPr="005A067F" w:rsidRDefault="00EE07A4" w:rsidP="00EE07A4">
      <w:pPr>
        <w:pStyle w:val="NoSpacing"/>
        <w:rPr>
          <w:rFonts w:cs="Arial"/>
          <w:b/>
          <w:bCs/>
          <w:color w:val="4F81BD" w:themeColor="accent1"/>
          <w:sz w:val="24"/>
          <w:szCs w:val="24"/>
          <w:u w:val="single"/>
        </w:rPr>
      </w:pPr>
      <w:r w:rsidRPr="005A067F">
        <w:rPr>
          <w:rFonts w:cs="Arial"/>
          <w:b/>
          <w:bCs/>
          <w:color w:val="4F81BD" w:themeColor="accent1"/>
          <w:sz w:val="24"/>
          <w:szCs w:val="24"/>
          <w:u w:val="single"/>
        </w:rPr>
        <w:t>Wider determinants of health</w:t>
      </w:r>
    </w:p>
    <w:p w14:paraId="314A72A5" w14:textId="77777777" w:rsidR="00934379" w:rsidRDefault="00934379" w:rsidP="00EE07A4">
      <w:pPr>
        <w:pStyle w:val="NoSpacing"/>
        <w:rPr>
          <w:rFonts w:cs="Arial"/>
        </w:rPr>
      </w:pPr>
    </w:p>
    <w:p w14:paraId="0747C2A1" w14:textId="0DBBE5D6" w:rsidR="00934379" w:rsidRPr="00A45218" w:rsidRDefault="00934379" w:rsidP="00934379">
      <w:pPr>
        <w:pStyle w:val="NoSpacing"/>
        <w:rPr>
          <w:rFonts w:cs="Arial"/>
          <w:b/>
          <w:bCs/>
          <w:i/>
          <w:iCs/>
          <w:color w:val="4F81BD" w:themeColor="accent1"/>
        </w:rPr>
      </w:pPr>
      <w:r>
        <w:rPr>
          <w:rFonts w:cs="Arial"/>
          <w:b/>
          <w:bCs/>
          <w:i/>
          <w:iCs/>
          <w:color w:val="4F81BD" w:themeColor="accent1"/>
        </w:rPr>
        <w:t>Deprivation</w:t>
      </w:r>
      <w:r w:rsidR="005A067F">
        <w:rPr>
          <w:rFonts w:cs="Arial"/>
          <w:b/>
          <w:bCs/>
          <w:i/>
          <w:iCs/>
          <w:color w:val="4F81BD" w:themeColor="accent1"/>
        </w:rPr>
        <w:t xml:space="preserve"> </w:t>
      </w:r>
      <w:r w:rsidR="008C1A28">
        <w:rPr>
          <w:rFonts w:cs="Arial"/>
          <w:b/>
          <w:bCs/>
          <w:i/>
          <w:iCs/>
          <w:color w:val="4F81BD" w:themeColor="accent1"/>
        </w:rPr>
        <w:t>and poverty</w:t>
      </w:r>
    </w:p>
    <w:p w14:paraId="4975185D" w14:textId="101CE3EF" w:rsidR="00344F2E" w:rsidRDefault="003432C3" w:rsidP="00EE07A4">
      <w:pPr>
        <w:pStyle w:val="NoSpacing"/>
        <w:rPr>
          <w:rFonts w:cs="Arial"/>
        </w:rPr>
      </w:pPr>
      <w:r w:rsidRPr="00E33D5D">
        <w:rPr>
          <w:rFonts w:cs="Arial"/>
        </w:rPr>
        <w:t xml:space="preserve">RBWM is one of the most affluent </w:t>
      </w:r>
      <w:r w:rsidR="00550B6D" w:rsidRPr="00E33D5D">
        <w:rPr>
          <w:rFonts w:cs="Arial"/>
        </w:rPr>
        <w:t>areas</w:t>
      </w:r>
      <w:r w:rsidRPr="00E33D5D">
        <w:rPr>
          <w:rFonts w:cs="Arial"/>
        </w:rPr>
        <w:t xml:space="preserve"> in England with over </w:t>
      </w:r>
      <w:r w:rsidR="00890624" w:rsidRPr="00E33D5D">
        <w:rPr>
          <w:rFonts w:cs="Arial"/>
        </w:rPr>
        <w:t xml:space="preserve">50% of </w:t>
      </w:r>
      <w:r w:rsidR="00550B6D" w:rsidRPr="00E33D5D">
        <w:rPr>
          <w:rFonts w:cs="Arial"/>
        </w:rPr>
        <w:t>the Borough’s Lower Super Output Areas</w:t>
      </w:r>
      <w:r w:rsidR="006A0210" w:rsidRPr="00E33D5D">
        <w:rPr>
          <w:rFonts w:cs="Arial"/>
        </w:rPr>
        <w:t xml:space="preserve"> (LSOAs)</w:t>
      </w:r>
      <w:r w:rsidR="002803D2" w:rsidRPr="00E33D5D">
        <w:rPr>
          <w:rFonts w:cs="Arial"/>
        </w:rPr>
        <w:t xml:space="preserve"> in the least deprived 10% </w:t>
      </w:r>
      <w:r w:rsidR="006A0210" w:rsidRPr="00E33D5D">
        <w:rPr>
          <w:rFonts w:cs="Arial"/>
        </w:rPr>
        <w:t>of neighbourhoods nationally.</w:t>
      </w:r>
    </w:p>
    <w:p w14:paraId="3B97ABF8" w14:textId="4C8F19D3" w:rsidR="00FE3CB7" w:rsidRDefault="00FE3CB7" w:rsidP="00EE07A4">
      <w:pPr>
        <w:pStyle w:val="NoSpacing"/>
        <w:rPr>
          <w:rFonts w:cs="Arial"/>
        </w:rPr>
      </w:pPr>
    </w:p>
    <w:p w14:paraId="6A3D2784" w14:textId="67DA94A6" w:rsidR="001240C3" w:rsidRDefault="005F501C" w:rsidP="00EE07A4">
      <w:pPr>
        <w:pStyle w:val="NoSpacing"/>
        <w:rPr>
          <w:rFonts w:cs="Arial"/>
        </w:rPr>
      </w:pPr>
      <w:r>
        <w:rPr>
          <w:rFonts w:cs="Arial"/>
        </w:rPr>
        <w:t>Maidenhead Town Centre has a slightly higher deprivation score than</w:t>
      </w:r>
      <w:r w:rsidR="00CF6568">
        <w:rPr>
          <w:rFonts w:cs="Arial"/>
        </w:rPr>
        <w:t xml:space="preserve"> </w:t>
      </w:r>
      <w:r w:rsidR="00B709B8">
        <w:rPr>
          <w:rFonts w:cs="Arial"/>
        </w:rPr>
        <w:t xml:space="preserve">the whole of </w:t>
      </w:r>
      <w:r w:rsidR="00CF6568">
        <w:rPr>
          <w:rFonts w:cs="Arial"/>
        </w:rPr>
        <w:t>RBWM</w:t>
      </w:r>
      <w:r w:rsidR="00B709B8">
        <w:rPr>
          <w:rFonts w:cs="Arial"/>
        </w:rPr>
        <w:t xml:space="preserve">, however it would still be classified </w:t>
      </w:r>
      <w:r w:rsidR="00B709B8" w:rsidRPr="00E33D5D">
        <w:rPr>
          <w:rFonts w:cs="Arial"/>
        </w:rPr>
        <w:t xml:space="preserve">in the least deprived </w:t>
      </w:r>
      <w:r w:rsidR="00163C7B">
        <w:rPr>
          <w:rFonts w:cs="Arial"/>
        </w:rPr>
        <w:t>2</w:t>
      </w:r>
      <w:r w:rsidR="00B709B8" w:rsidRPr="00E33D5D">
        <w:rPr>
          <w:rFonts w:cs="Arial"/>
        </w:rPr>
        <w:t xml:space="preserve">0% of </w:t>
      </w:r>
      <w:r w:rsidR="005421E0">
        <w:rPr>
          <w:rFonts w:cs="Arial"/>
        </w:rPr>
        <w:t>areas in its own right.</w:t>
      </w:r>
      <w:r w:rsidR="00E234DF">
        <w:rPr>
          <w:rFonts w:cs="Arial"/>
        </w:rPr>
        <w:t xml:space="preserve"> The</w:t>
      </w:r>
      <w:r w:rsidR="00582F68">
        <w:rPr>
          <w:rFonts w:cs="Arial"/>
        </w:rPr>
        <w:t xml:space="preserve"> Town Centre does include 3 of the 4 most deprived neighbourhoods in RBWM</w:t>
      </w:r>
      <w:r w:rsidR="00423737">
        <w:rPr>
          <w:rFonts w:cs="Arial"/>
        </w:rPr>
        <w:t xml:space="preserve"> and these are situated in St Mary’s</w:t>
      </w:r>
      <w:r w:rsidR="00C50B12">
        <w:rPr>
          <w:rFonts w:cs="Arial"/>
        </w:rPr>
        <w:t xml:space="preserve"> (005G)</w:t>
      </w:r>
      <w:r w:rsidR="00423737">
        <w:rPr>
          <w:rFonts w:cs="Arial"/>
        </w:rPr>
        <w:t>, Oldfield</w:t>
      </w:r>
      <w:r w:rsidR="00C50B12">
        <w:rPr>
          <w:rFonts w:cs="Arial"/>
        </w:rPr>
        <w:t xml:space="preserve"> (007D)</w:t>
      </w:r>
      <w:r w:rsidR="00423737">
        <w:rPr>
          <w:rFonts w:cs="Arial"/>
        </w:rPr>
        <w:t xml:space="preserve"> and Belmont</w:t>
      </w:r>
      <w:r w:rsidR="001805EE">
        <w:rPr>
          <w:rFonts w:cs="Arial"/>
        </w:rPr>
        <w:t xml:space="preserve"> (005C)</w:t>
      </w:r>
      <w:r w:rsidR="00423737">
        <w:rPr>
          <w:rFonts w:cs="Arial"/>
        </w:rPr>
        <w:t xml:space="preserve"> wards.</w:t>
      </w:r>
      <w:r w:rsidR="009842D0">
        <w:rPr>
          <w:rFonts w:cs="Arial"/>
        </w:rPr>
        <w:t xml:space="preserve"> </w:t>
      </w:r>
      <w:r w:rsidR="00641163">
        <w:rPr>
          <w:rFonts w:cs="Arial"/>
        </w:rPr>
        <w:t xml:space="preserve">These are classed as being in the </w:t>
      </w:r>
      <w:r w:rsidR="0086418C">
        <w:rPr>
          <w:rFonts w:cs="Arial"/>
        </w:rPr>
        <w:t>4</w:t>
      </w:r>
      <w:r w:rsidR="00641163">
        <w:rPr>
          <w:rFonts w:cs="Arial"/>
        </w:rPr>
        <w:t xml:space="preserve">0% most deprived areas nationally and approximately </w:t>
      </w:r>
      <w:r w:rsidR="00751ADB">
        <w:rPr>
          <w:rFonts w:cs="Arial"/>
        </w:rPr>
        <w:t>5,300</w:t>
      </w:r>
      <w:r w:rsidR="00641163">
        <w:rPr>
          <w:rFonts w:cs="Arial"/>
        </w:rPr>
        <w:t xml:space="preserve"> people live in these neighbourhoods. </w:t>
      </w:r>
    </w:p>
    <w:p w14:paraId="781BE982" w14:textId="77777777" w:rsidR="001240C3" w:rsidRDefault="001240C3" w:rsidP="00EE07A4">
      <w:pPr>
        <w:pStyle w:val="NoSpacing"/>
        <w:rPr>
          <w:rFonts w:cs="Arial"/>
        </w:rPr>
      </w:pPr>
    </w:p>
    <w:p w14:paraId="28DE9EF4" w14:textId="67851A87" w:rsidR="00FE3CB7" w:rsidRDefault="009842D0" w:rsidP="00EE07A4">
      <w:pPr>
        <w:pStyle w:val="NoSpacing"/>
        <w:rPr>
          <w:rFonts w:cs="Arial"/>
        </w:rPr>
      </w:pPr>
      <w:r>
        <w:rPr>
          <w:rFonts w:cs="Arial"/>
        </w:rPr>
        <w:t>Maidenhead’s deprivation profile is very similar to RBWM’s</w:t>
      </w:r>
      <w:r w:rsidR="001240C3">
        <w:rPr>
          <w:rFonts w:cs="Arial"/>
        </w:rPr>
        <w:t>. The most deprived areas within Maidenhead are within the Town Centre, as described above (</w:t>
      </w:r>
      <w:hyperlink r:id="rId15" w:history="1">
        <w:r w:rsidR="00CF5217" w:rsidRPr="00CF5217">
          <w:rPr>
            <w:rStyle w:val="Hyperlink"/>
            <w:rFonts w:cs="Arial"/>
          </w:rPr>
          <w:t>Ministry of Housing, Communities and Local Government</w:t>
        </w:r>
      </w:hyperlink>
      <w:r w:rsidR="00CF5217">
        <w:rPr>
          <w:rFonts w:cs="Arial"/>
        </w:rPr>
        <w:t xml:space="preserve"> 2019)</w:t>
      </w:r>
      <w:r w:rsidR="005A067F">
        <w:rPr>
          <w:rFonts w:cs="Arial"/>
        </w:rPr>
        <w:t>.</w:t>
      </w:r>
    </w:p>
    <w:p w14:paraId="78579C88" w14:textId="541D1866" w:rsidR="00A25620" w:rsidRDefault="00A25620" w:rsidP="00EE07A4">
      <w:pPr>
        <w:pStyle w:val="NoSpacing"/>
        <w:rPr>
          <w:rFonts w:cs="Arial"/>
        </w:rPr>
      </w:pPr>
    </w:p>
    <w:p w14:paraId="7B3DD8CB" w14:textId="14FE84BA" w:rsidR="00A25620" w:rsidRDefault="00037D96" w:rsidP="00EE07A4">
      <w:pPr>
        <w:pStyle w:val="NoSpacing"/>
        <w:rPr>
          <w:rFonts w:cs="Arial"/>
        </w:rPr>
      </w:pPr>
      <w:r>
        <w:rPr>
          <w:rFonts w:cs="Arial"/>
        </w:rPr>
        <w:t>Figure 3 shows the number and proportion of children and older people living in income deprived households</w:t>
      </w:r>
      <w:r w:rsidR="005C41E6">
        <w:rPr>
          <w:rFonts w:cs="Arial"/>
        </w:rPr>
        <w:t xml:space="preserve"> in 2020. While Maidenhead Town Centre and Maidenhead both have lower proportions of these populations living in income deprivation compared to Frimley ICS, Maidenhead Town Centre’s </w:t>
      </w:r>
      <w:r w:rsidR="00256CDF">
        <w:rPr>
          <w:rFonts w:cs="Arial"/>
        </w:rPr>
        <w:t xml:space="preserve">figures are significantly higher than RBWM’s overall. </w:t>
      </w:r>
      <w:r w:rsidR="00130683">
        <w:rPr>
          <w:rFonts w:cs="Arial"/>
        </w:rPr>
        <w:t xml:space="preserve">Two neighbourhoods in Belmont </w:t>
      </w:r>
      <w:r w:rsidR="00B12A3E">
        <w:rPr>
          <w:rFonts w:cs="Arial"/>
        </w:rPr>
        <w:t xml:space="preserve">(005C) </w:t>
      </w:r>
      <w:r w:rsidR="00130683">
        <w:rPr>
          <w:rFonts w:cs="Arial"/>
        </w:rPr>
        <w:t xml:space="preserve">and Oldfield </w:t>
      </w:r>
      <w:r w:rsidR="00B12A3E">
        <w:rPr>
          <w:rFonts w:cs="Arial"/>
        </w:rPr>
        <w:t xml:space="preserve">(007D) </w:t>
      </w:r>
      <w:r w:rsidR="00130683">
        <w:rPr>
          <w:rFonts w:cs="Arial"/>
        </w:rPr>
        <w:t>ward</w:t>
      </w:r>
      <w:r w:rsidR="00B12A3E">
        <w:rPr>
          <w:rFonts w:cs="Arial"/>
        </w:rPr>
        <w:t>s</w:t>
      </w:r>
      <w:r w:rsidR="00130683">
        <w:rPr>
          <w:rFonts w:cs="Arial"/>
        </w:rPr>
        <w:t xml:space="preserve"> have </w:t>
      </w:r>
      <w:r w:rsidR="003E7CF4">
        <w:rPr>
          <w:rFonts w:cs="Arial"/>
        </w:rPr>
        <w:t>over 15% of children living in income deprivation</w:t>
      </w:r>
      <w:r w:rsidR="007466D0">
        <w:rPr>
          <w:rFonts w:cs="Arial"/>
        </w:rPr>
        <w:t>.</w:t>
      </w:r>
      <w:r w:rsidR="001A1F73">
        <w:rPr>
          <w:rFonts w:cs="Arial"/>
        </w:rPr>
        <w:t xml:space="preserve"> </w:t>
      </w:r>
      <w:r w:rsidR="00AA498E">
        <w:rPr>
          <w:rFonts w:cs="Arial"/>
        </w:rPr>
        <w:t>A neighbourhood in St Mary</w:t>
      </w:r>
      <w:r w:rsidR="005C26CF">
        <w:rPr>
          <w:rFonts w:cs="Arial"/>
        </w:rPr>
        <w:t>’</w:t>
      </w:r>
      <w:r w:rsidR="00AA498E">
        <w:rPr>
          <w:rFonts w:cs="Arial"/>
        </w:rPr>
        <w:t xml:space="preserve">s ward (005G) has nearly 35% of older people living in income deprivation, which is the highest </w:t>
      </w:r>
      <w:r w:rsidR="001A1F73">
        <w:rPr>
          <w:rFonts w:cs="Arial"/>
        </w:rPr>
        <w:t>level in RBWM.</w:t>
      </w:r>
      <w:r w:rsidR="0007286E">
        <w:rPr>
          <w:rFonts w:cs="Arial"/>
        </w:rPr>
        <w:t xml:space="preserve"> An additional neighbourhood in Belmont (005C) also has </w:t>
      </w:r>
      <w:r w:rsidR="00D7593C">
        <w:rPr>
          <w:rFonts w:cs="Arial"/>
        </w:rPr>
        <w:t>over 25% of older people living in income deprivation</w:t>
      </w:r>
      <w:r w:rsidR="00F07670">
        <w:rPr>
          <w:rFonts w:cs="Arial"/>
        </w:rPr>
        <w:t xml:space="preserve"> (</w:t>
      </w:r>
      <w:hyperlink r:id="rId16" w:history="1">
        <w:r w:rsidR="00F07670" w:rsidRPr="00CF5217">
          <w:rPr>
            <w:rStyle w:val="Hyperlink"/>
            <w:rFonts w:cs="Arial"/>
          </w:rPr>
          <w:t>Ministry of Housing, Communities and Local Government</w:t>
        </w:r>
      </w:hyperlink>
      <w:r w:rsidR="00F07670">
        <w:rPr>
          <w:rFonts w:cs="Arial"/>
        </w:rPr>
        <w:t xml:space="preserve"> 2019).</w:t>
      </w:r>
    </w:p>
    <w:p w14:paraId="7E27E6E2" w14:textId="714B8B97" w:rsidR="00A25620" w:rsidRDefault="00A25620" w:rsidP="00EE07A4">
      <w:pPr>
        <w:pStyle w:val="NoSpacing"/>
        <w:rPr>
          <w:rFonts w:cs="Arial"/>
        </w:rPr>
      </w:pPr>
    </w:p>
    <w:p w14:paraId="1A96F636" w14:textId="75AB823A" w:rsidR="00125772" w:rsidRDefault="00125772" w:rsidP="00125772">
      <w:pPr>
        <w:pStyle w:val="NoSpacing"/>
        <w:rPr>
          <w:rFonts w:cs="Arial"/>
          <w:b/>
          <w:bCs/>
          <w:color w:val="4F81BD" w:themeColor="accent1"/>
          <w:sz w:val="24"/>
          <w:szCs w:val="24"/>
        </w:rPr>
      </w:pPr>
      <w:r w:rsidRPr="00125772">
        <w:rPr>
          <w:rFonts w:cs="Arial"/>
          <w:noProof/>
        </w:rPr>
        <w:drawing>
          <wp:anchor distT="0" distB="0" distL="114300" distR="114300" simplePos="0" relativeHeight="251663360" behindDoc="1" locked="0" layoutInCell="1" allowOverlap="1" wp14:anchorId="220C9768" wp14:editId="5BBB16AE">
            <wp:simplePos x="0" y="0"/>
            <wp:positionH relativeFrom="column">
              <wp:posOffset>-20955</wp:posOffset>
            </wp:positionH>
            <wp:positionV relativeFrom="paragraph">
              <wp:posOffset>237490</wp:posOffset>
            </wp:positionV>
            <wp:extent cx="6300470" cy="1026795"/>
            <wp:effectExtent l="0" t="0" r="5080" b="1905"/>
            <wp:wrapTight wrapText="bothSides">
              <wp:wrapPolygon edited="0">
                <wp:start x="0" y="0"/>
                <wp:lineTo x="0" y="21239"/>
                <wp:lineTo x="21552" y="21239"/>
                <wp:lineTo x="2155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300470" cy="1026795"/>
                    </a:xfrm>
                    <a:prstGeom prst="rect">
                      <a:avLst/>
                    </a:prstGeom>
                  </pic:spPr>
                </pic:pic>
              </a:graphicData>
            </a:graphic>
          </wp:anchor>
        </w:drawing>
      </w:r>
      <w:r w:rsidRPr="00567774">
        <w:rPr>
          <w:rFonts w:cs="Arial"/>
          <w:b/>
          <w:bCs/>
          <w:sz w:val="20"/>
          <w:szCs w:val="20"/>
        </w:rPr>
        <w:t xml:space="preserve">Figure </w:t>
      </w:r>
      <w:r>
        <w:rPr>
          <w:rFonts w:cs="Arial"/>
          <w:b/>
          <w:bCs/>
          <w:sz w:val="20"/>
          <w:szCs w:val="20"/>
        </w:rPr>
        <w:t>3</w:t>
      </w:r>
      <w:r w:rsidRPr="00567774">
        <w:rPr>
          <w:rFonts w:cs="Arial"/>
          <w:b/>
          <w:bCs/>
          <w:sz w:val="20"/>
          <w:szCs w:val="20"/>
        </w:rPr>
        <w:t xml:space="preserve">: </w:t>
      </w:r>
      <w:r>
        <w:rPr>
          <w:rFonts w:cs="Arial"/>
          <w:b/>
          <w:bCs/>
          <w:sz w:val="20"/>
          <w:szCs w:val="20"/>
        </w:rPr>
        <w:t xml:space="preserve">Population living in income </w:t>
      </w:r>
      <w:r w:rsidR="00110CD5">
        <w:rPr>
          <w:rFonts w:cs="Arial"/>
          <w:b/>
          <w:bCs/>
          <w:sz w:val="20"/>
          <w:szCs w:val="20"/>
        </w:rPr>
        <w:t>d</w:t>
      </w:r>
      <w:r>
        <w:rPr>
          <w:rFonts w:cs="Arial"/>
          <w:b/>
          <w:bCs/>
          <w:sz w:val="20"/>
          <w:szCs w:val="20"/>
        </w:rPr>
        <w:t xml:space="preserve">eprived households  </w:t>
      </w:r>
      <w:r w:rsidR="009270FA">
        <w:rPr>
          <w:rFonts w:cs="Arial"/>
          <w:b/>
          <w:bCs/>
          <w:sz w:val="20"/>
          <w:szCs w:val="20"/>
        </w:rPr>
        <w:t>(2020 mid-year estimates)</w:t>
      </w:r>
    </w:p>
    <w:p w14:paraId="120C6829" w14:textId="77777777" w:rsidR="009270FA" w:rsidRDefault="009270FA" w:rsidP="009270FA">
      <w:pPr>
        <w:pStyle w:val="NoSpacing"/>
        <w:rPr>
          <w:rFonts w:cs="Arial"/>
          <w:i/>
          <w:iCs/>
          <w:sz w:val="20"/>
          <w:szCs w:val="20"/>
        </w:rPr>
      </w:pPr>
      <w:r>
        <w:rPr>
          <w:rFonts w:cs="Arial"/>
          <w:i/>
          <w:iCs/>
          <w:sz w:val="20"/>
          <w:szCs w:val="20"/>
        </w:rPr>
        <w:t>Statistical significance is based on 95% confidence intervals</w:t>
      </w:r>
    </w:p>
    <w:p w14:paraId="01049CB4" w14:textId="544421FE" w:rsidR="009270FA" w:rsidRPr="00670776" w:rsidRDefault="009270FA" w:rsidP="009270FA">
      <w:pPr>
        <w:pStyle w:val="NoSpacing"/>
        <w:rPr>
          <w:rFonts w:cs="Arial"/>
          <w:i/>
          <w:iCs/>
          <w:sz w:val="20"/>
          <w:szCs w:val="20"/>
        </w:rPr>
      </w:pPr>
      <w:r w:rsidRPr="00670776">
        <w:rPr>
          <w:rFonts w:cs="Arial"/>
          <w:i/>
          <w:iCs/>
          <w:sz w:val="20"/>
          <w:szCs w:val="20"/>
        </w:rPr>
        <w:t xml:space="preserve">Source: </w:t>
      </w:r>
      <w:r>
        <w:rPr>
          <w:rFonts w:cs="Arial"/>
          <w:i/>
          <w:iCs/>
          <w:sz w:val="20"/>
          <w:szCs w:val="20"/>
        </w:rPr>
        <w:t>Deprivation</w:t>
      </w:r>
      <w:r w:rsidR="00361B71">
        <w:rPr>
          <w:rFonts w:cs="Arial"/>
          <w:i/>
          <w:iCs/>
          <w:sz w:val="20"/>
          <w:szCs w:val="20"/>
        </w:rPr>
        <w:t xml:space="preserve"> scores – Ministry of Housing Communities and Local Government (2019); </w:t>
      </w:r>
      <w:hyperlink r:id="rId18" w:history="1">
        <w:r w:rsidR="00361B71" w:rsidRPr="007128DE">
          <w:rPr>
            <w:rStyle w:val="Hyperlink"/>
            <w:rFonts w:cs="Arial"/>
            <w:i/>
            <w:iCs/>
            <w:sz w:val="20"/>
            <w:szCs w:val="20"/>
          </w:rPr>
          <w:t>English indices of deprivation</w:t>
        </w:r>
        <w:r w:rsidR="007128DE" w:rsidRPr="007128DE">
          <w:rPr>
            <w:rStyle w:val="Hyperlink"/>
            <w:rFonts w:cs="Arial"/>
            <w:i/>
            <w:iCs/>
            <w:sz w:val="20"/>
            <w:szCs w:val="20"/>
          </w:rPr>
          <w:t xml:space="preserve"> 2019.</w:t>
        </w:r>
      </w:hyperlink>
      <w:r w:rsidR="007128DE">
        <w:rPr>
          <w:rFonts w:cs="Arial"/>
          <w:i/>
          <w:iCs/>
          <w:sz w:val="20"/>
          <w:szCs w:val="20"/>
        </w:rPr>
        <w:t xml:space="preserve"> Population estimates - </w:t>
      </w:r>
      <w:r w:rsidR="00971C01">
        <w:rPr>
          <w:rFonts w:cs="Arial"/>
          <w:i/>
          <w:iCs/>
          <w:sz w:val="20"/>
          <w:szCs w:val="20"/>
        </w:rPr>
        <w:t>ONS</w:t>
      </w:r>
      <w:r w:rsidR="00A97165">
        <w:rPr>
          <w:rFonts w:cs="Arial"/>
          <w:i/>
          <w:iCs/>
          <w:sz w:val="20"/>
          <w:szCs w:val="20"/>
        </w:rPr>
        <w:t xml:space="preserve"> (2021); </w:t>
      </w:r>
      <w:hyperlink r:id="rId19" w:history="1">
        <w:r w:rsidR="00110CD5" w:rsidRPr="00110CD5">
          <w:rPr>
            <w:rStyle w:val="Hyperlink"/>
            <w:rFonts w:cs="Arial"/>
            <w:i/>
            <w:iCs/>
            <w:sz w:val="20"/>
            <w:szCs w:val="20"/>
          </w:rPr>
          <w:t>LSOA population estimates</w:t>
        </w:r>
      </w:hyperlink>
    </w:p>
    <w:p w14:paraId="4137FE25" w14:textId="45772CC2" w:rsidR="005A067F" w:rsidRDefault="005A067F" w:rsidP="00EE07A4">
      <w:pPr>
        <w:pStyle w:val="NoSpacing"/>
        <w:rPr>
          <w:rFonts w:cs="Arial"/>
        </w:rPr>
      </w:pPr>
    </w:p>
    <w:p w14:paraId="362D6116" w14:textId="205B4D33" w:rsidR="00EE07A4" w:rsidRDefault="001F7AA0" w:rsidP="00EE07A4">
      <w:pPr>
        <w:pStyle w:val="NoSpacing"/>
        <w:rPr>
          <w:rFonts w:cs="Arial"/>
        </w:rPr>
      </w:pPr>
      <w:r>
        <w:rPr>
          <w:rFonts w:cs="Arial"/>
        </w:rPr>
        <w:t>In 2018, approximately 6.4% of households in Maidenhead Town Centre were</w:t>
      </w:r>
      <w:r w:rsidR="0085799F">
        <w:rPr>
          <w:rFonts w:cs="Arial"/>
        </w:rPr>
        <w:t xml:space="preserve"> living in fuel poverty and 6.2% in Maidenhead. </w:t>
      </w:r>
      <w:r w:rsidR="001773E2">
        <w:rPr>
          <w:rFonts w:cs="Arial"/>
        </w:rPr>
        <w:t xml:space="preserve">These </w:t>
      </w:r>
      <w:r w:rsidR="006F39B1">
        <w:rPr>
          <w:rFonts w:cs="Arial"/>
        </w:rPr>
        <w:t>were</w:t>
      </w:r>
      <w:r w:rsidR="001773E2">
        <w:rPr>
          <w:rFonts w:cs="Arial"/>
        </w:rPr>
        <w:t xml:space="preserve"> similar to </w:t>
      </w:r>
      <w:r w:rsidR="006F39B1">
        <w:rPr>
          <w:rFonts w:cs="Arial"/>
        </w:rPr>
        <w:t>RBWM</w:t>
      </w:r>
      <w:r w:rsidR="00B57B43">
        <w:rPr>
          <w:rFonts w:cs="Arial"/>
        </w:rPr>
        <w:t xml:space="preserve"> and Frimley’s rates</w:t>
      </w:r>
      <w:r w:rsidR="006F39B1">
        <w:rPr>
          <w:rFonts w:cs="Arial"/>
        </w:rPr>
        <w:t xml:space="preserve"> </w:t>
      </w:r>
      <w:r w:rsidR="004161AE">
        <w:rPr>
          <w:rFonts w:cs="Arial"/>
        </w:rPr>
        <w:t>(</w:t>
      </w:r>
      <w:hyperlink r:id="rId20" w:history="1">
        <w:r w:rsidR="004161AE" w:rsidRPr="004161AE">
          <w:rPr>
            <w:rStyle w:val="Hyperlink"/>
            <w:rFonts w:cs="Arial"/>
          </w:rPr>
          <w:t>Department for Business, Energy and Industrial Strategy</w:t>
        </w:r>
      </w:hyperlink>
      <w:r w:rsidR="004161AE">
        <w:rPr>
          <w:rFonts w:cs="Arial"/>
        </w:rPr>
        <w:t xml:space="preserve"> 2021).</w:t>
      </w:r>
      <w:r w:rsidR="00076347">
        <w:rPr>
          <w:rFonts w:cs="Arial"/>
        </w:rPr>
        <w:t xml:space="preserve"> It is important to note that these figures will not reflect the </w:t>
      </w:r>
      <w:r w:rsidR="00B651F3">
        <w:rPr>
          <w:rFonts w:cs="Arial"/>
        </w:rPr>
        <w:t>impact of the recent rise in energy costs</w:t>
      </w:r>
      <w:r w:rsidR="005876EC">
        <w:rPr>
          <w:rFonts w:cs="Arial"/>
        </w:rPr>
        <w:t>.</w:t>
      </w:r>
    </w:p>
    <w:p w14:paraId="23770F0F" w14:textId="77777777" w:rsidR="00971C01" w:rsidRDefault="00971C01" w:rsidP="00EE07A4">
      <w:pPr>
        <w:pStyle w:val="NoSpacing"/>
        <w:rPr>
          <w:rFonts w:cs="Arial"/>
        </w:rPr>
      </w:pPr>
    </w:p>
    <w:p w14:paraId="3AD28493" w14:textId="6B5D48C8" w:rsidR="00EE07A4" w:rsidRDefault="00490B8A" w:rsidP="00EE07A4">
      <w:pPr>
        <w:pStyle w:val="NoSpacing"/>
        <w:rPr>
          <w:rFonts w:cs="Arial"/>
          <w:sz w:val="24"/>
          <w:szCs w:val="24"/>
        </w:rPr>
      </w:pPr>
      <w:r>
        <w:rPr>
          <w:rFonts w:cs="Arial"/>
          <w:b/>
          <w:bCs/>
          <w:i/>
          <w:iCs/>
          <w:color w:val="4F81BD" w:themeColor="accent1"/>
        </w:rPr>
        <w:lastRenderedPageBreak/>
        <w:t>Employment and benefits</w:t>
      </w:r>
    </w:p>
    <w:p w14:paraId="39C04A63" w14:textId="47B2B315" w:rsidR="00EE07A4" w:rsidRDefault="00E06DB6" w:rsidP="00EE07A4">
      <w:pPr>
        <w:pStyle w:val="NoSpacing"/>
        <w:rPr>
          <w:rFonts w:cs="Arial"/>
        </w:rPr>
      </w:pPr>
      <w:r w:rsidRPr="00F92118">
        <w:rPr>
          <w:rFonts w:cs="Arial"/>
        </w:rPr>
        <w:t xml:space="preserve">Recent employment </w:t>
      </w:r>
      <w:r w:rsidR="009E7A15" w:rsidRPr="00F92118">
        <w:rPr>
          <w:rFonts w:cs="Arial"/>
        </w:rPr>
        <w:t xml:space="preserve">data is not available at a sub-LA level. The previous 2011 Census indicates that </w:t>
      </w:r>
      <w:r w:rsidR="001B7672" w:rsidRPr="00F92118">
        <w:rPr>
          <w:rFonts w:cs="Arial"/>
        </w:rPr>
        <w:t>75% of 16 to 64 year olds were economically active in Maidenhead Town Centre</w:t>
      </w:r>
      <w:r w:rsidR="007A1FC9" w:rsidRPr="00F92118">
        <w:rPr>
          <w:rFonts w:cs="Arial"/>
        </w:rPr>
        <w:t xml:space="preserve"> and Maidenhead</w:t>
      </w:r>
      <w:r w:rsidR="00C9094F">
        <w:rPr>
          <w:rFonts w:cs="Arial"/>
        </w:rPr>
        <w:t xml:space="preserve"> with around 70% in </w:t>
      </w:r>
      <w:r w:rsidR="00414E73">
        <w:rPr>
          <w:rFonts w:cs="Arial"/>
        </w:rPr>
        <w:t>employment.</w:t>
      </w:r>
      <w:r w:rsidR="00A84361">
        <w:rPr>
          <w:rFonts w:cs="Arial"/>
        </w:rPr>
        <w:t xml:space="preserve"> </w:t>
      </w:r>
      <w:r w:rsidR="00F92118" w:rsidRPr="00F92118">
        <w:rPr>
          <w:rFonts w:cs="Arial"/>
        </w:rPr>
        <w:t>This reflected the wider pict</w:t>
      </w:r>
      <w:r w:rsidR="00247AC3">
        <w:rPr>
          <w:rFonts w:cs="Arial"/>
        </w:rPr>
        <w:t>u</w:t>
      </w:r>
      <w:r w:rsidR="00F92118" w:rsidRPr="00F92118">
        <w:rPr>
          <w:rFonts w:cs="Arial"/>
        </w:rPr>
        <w:t>re across RBWM</w:t>
      </w:r>
      <w:r w:rsidR="00482308">
        <w:rPr>
          <w:rFonts w:cs="Arial"/>
        </w:rPr>
        <w:t xml:space="preserve"> (</w:t>
      </w:r>
      <w:hyperlink r:id="rId21" w:history="1">
        <w:r w:rsidR="00971C01">
          <w:rPr>
            <w:rStyle w:val="Hyperlink"/>
            <w:rFonts w:cs="Arial"/>
          </w:rPr>
          <w:t>ONS</w:t>
        </w:r>
      </w:hyperlink>
      <w:r w:rsidR="00482308">
        <w:rPr>
          <w:rFonts w:cs="Arial"/>
        </w:rPr>
        <w:t xml:space="preserve"> 2012).</w:t>
      </w:r>
    </w:p>
    <w:p w14:paraId="4EA7043B" w14:textId="785A26FE" w:rsidR="004672F7" w:rsidRDefault="004672F7" w:rsidP="00EE07A4">
      <w:pPr>
        <w:pStyle w:val="NoSpacing"/>
        <w:rPr>
          <w:rFonts w:cs="Arial"/>
        </w:rPr>
      </w:pPr>
    </w:p>
    <w:p w14:paraId="3596DD21" w14:textId="370E8AF6" w:rsidR="004672F7" w:rsidRDefault="00A027E9" w:rsidP="00EE07A4">
      <w:pPr>
        <w:pStyle w:val="NoSpacing"/>
        <w:rPr>
          <w:rFonts w:cs="Arial"/>
        </w:rPr>
      </w:pPr>
      <w:r>
        <w:rPr>
          <w:rFonts w:cs="Arial"/>
        </w:rPr>
        <w:t xml:space="preserve">At Feb-22, approximately 1,280 people in Maidenhead Town Centre and </w:t>
      </w:r>
      <w:r w:rsidR="002B7B7B">
        <w:rPr>
          <w:rFonts w:cs="Arial"/>
        </w:rPr>
        <w:t>1,745 people across Maidenhead were claiming Universal Credit</w:t>
      </w:r>
      <w:r w:rsidR="00D946E6">
        <w:rPr>
          <w:rFonts w:cs="Arial"/>
        </w:rPr>
        <w:t xml:space="preserve"> (average over the </w:t>
      </w:r>
      <w:r w:rsidR="00547FFE">
        <w:rPr>
          <w:rFonts w:cs="Arial"/>
        </w:rPr>
        <w:t>12 month period</w:t>
      </w:r>
      <w:r w:rsidR="00D946E6">
        <w:rPr>
          <w:rFonts w:cs="Arial"/>
        </w:rPr>
        <w:t>).</w:t>
      </w:r>
      <w:r w:rsidR="005D6572">
        <w:rPr>
          <w:rFonts w:cs="Arial"/>
        </w:rPr>
        <w:t xml:space="preserve"> </w:t>
      </w:r>
      <w:r w:rsidR="00B50C82">
        <w:rPr>
          <w:rFonts w:cs="Arial"/>
        </w:rPr>
        <w:t xml:space="preserve">4% of 16 to 64 year olds in </w:t>
      </w:r>
      <w:r w:rsidR="005D6572">
        <w:rPr>
          <w:rFonts w:cs="Arial"/>
        </w:rPr>
        <w:t xml:space="preserve">Maidenhead Town Centre </w:t>
      </w:r>
      <w:r w:rsidR="00B50C82">
        <w:rPr>
          <w:rFonts w:cs="Arial"/>
        </w:rPr>
        <w:t xml:space="preserve">were in receipt of </w:t>
      </w:r>
      <w:r w:rsidR="003E4401">
        <w:rPr>
          <w:rFonts w:cs="Arial"/>
        </w:rPr>
        <w:t>Universal Credit</w:t>
      </w:r>
      <w:r w:rsidR="00B50C82">
        <w:rPr>
          <w:rFonts w:cs="Arial"/>
        </w:rPr>
        <w:t xml:space="preserve">, which was significantly higher than RBWM and similar to Frimley. </w:t>
      </w:r>
      <w:r w:rsidR="002E476B">
        <w:rPr>
          <w:rFonts w:cs="Arial"/>
        </w:rPr>
        <w:t>3.6% of 16 to 64 year olds in Maidenhead were in receipt of Universal Credit, which was similar to RBWM and significantly lower than Frimley</w:t>
      </w:r>
      <w:r w:rsidR="0016343C">
        <w:rPr>
          <w:rFonts w:cs="Arial"/>
        </w:rPr>
        <w:t xml:space="preserve"> (</w:t>
      </w:r>
      <w:hyperlink r:id="rId22" w:history="1">
        <w:r w:rsidR="00971C01">
          <w:rPr>
            <w:rStyle w:val="Hyperlink"/>
            <w:rFonts w:cs="Arial"/>
          </w:rPr>
          <w:t>ONS</w:t>
        </w:r>
      </w:hyperlink>
      <w:r w:rsidR="0016343C">
        <w:rPr>
          <w:rFonts w:cs="Arial"/>
        </w:rPr>
        <w:t xml:space="preserve"> 2022).</w:t>
      </w:r>
    </w:p>
    <w:p w14:paraId="3E453512" w14:textId="0011DAB8" w:rsidR="00D33A2F" w:rsidRPr="00526C8B" w:rsidRDefault="00D33A2F" w:rsidP="00EE07A4">
      <w:pPr>
        <w:pStyle w:val="NoSpacing"/>
        <w:rPr>
          <w:rFonts w:cs="Arial"/>
          <w:sz w:val="18"/>
          <w:szCs w:val="18"/>
        </w:rPr>
      </w:pPr>
    </w:p>
    <w:p w14:paraId="3AB6F832" w14:textId="77777777" w:rsidR="00940EC8" w:rsidRPr="00526C8B" w:rsidRDefault="00940EC8" w:rsidP="00EE07A4">
      <w:pPr>
        <w:pStyle w:val="NoSpacing"/>
        <w:rPr>
          <w:rFonts w:cs="Arial"/>
          <w:b/>
          <w:bCs/>
          <w:color w:val="4F81BD" w:themeColor="accent1"/>
          <w:sz w:val="18"/>
          <w:szCs w:val="18"/>
        </w:rPr>
      </w:pPr>
    </w:p>
    <w:p w14:paraId="5749E956" w14:textId="1FFECC21" w:rsidR="00F07670" w:rsidRDefault="00F07670" w:rsidP="00F07670">
      <w:pPr>
        <w:pStyle w:val="NoSpacing"/>
        <w:rPr>
          <w:rFonts w:cs="Arial"/>
          <w:sz w:val="24"/>
          <w:szCs w:val="24"/>
        </w:rPr>
      </w:pPr>
      <w:r>
        <w:rPr>
          <w:rFonts w:cs="Arial"/>
          <w:b/>
          <w:bCs/>
          <w:i/>
          <w:iCs/>
          <w:color w:val="4F81BD" w:themeColor="accent1"/>
        </w:rPr>
        <w:t>Housing</w:t>
      </w:r>
    </w:p>
    <w:p w14:paraId="16D199C3" w14:textId="33B8C1BD" w:rsidR="0037604C" w:rsidRDefault="00922F57" w:rsidP="00EE07A4">
      <w:pPr>
        <w:pStyle w:val="NoSpacing"/>
        <w:rPr>
          <w:rFonts w:cs="Arial"/>
        </w:rPr>
      </w:pPr>
      <w:r w:rsidRPr="006075B6">
        <w:rPr>
          <w:rFonts w:cs="Arial"/>
        </w:rPr>
        <w:t xml:space="preserve">The type of housing provision in Maidenhead Town Centre is different to the whole of RBWM, with </w:t>
      </w:r>
      <w:r w:rsidR="00B924E0" w:rsidRPr="006075B6">
        <w:rPr>
          <w:rFonts w:cs="Arial"/>
        </w:rPr>
        <w:t xml:space="preserve">a significantly higher proportion of flat and </w:t>
      </w:r>
      <w:r w:rsidR="006075B6" w:rsidRPr="006075B6">
        <w:rPr>
          <w:rFonts w:cs="Arial"/>
        </w:rPr>
        <w:t>maisonette</w:t>
      </w:r>
      <w:r w:rsidR="00B924E0" w:rsidRPr="006075B6">
        <w:rPr>
          <w:rFonts w:cs="Arial"/>
        </w:rPr>
        <w:t xml:space="preserve"> dwellings </w:t>
      </w:r>
      <w:r w:rsidR="006075B6" w:rsidRPr="006075B6">
        <w:rPr>
          <w:rFonts w:cs="Arial"/>
        </w:rPr>
        <w:t>and a lower proportion of detached houses and bungalows</w:t>
      </w:r>
      <w:r w:rsidR="00F37072">
        <w:rPr>
          <w:rFonts w:cs="Arial"/>
        </w:rPr>
        <w:t xml:space="preserve"> (</w:t>
      </w:r>
      <w:hyperlink r:id="rId23" w:history="1">
        <w:r w:rsidR="00C136CD" w:rsidRPr="00C136CD">
          <w:rPr>
            <w:rStyle w:val="Hyperlink"/>
            <w:rFonts w:cs="Arial"/>
          </w:rPr>
          <w:t>Valuations Office Agency</w:t>
        </w:r>
      </w:hyperlink>
      <w:r w:rsidR="00C136CD">
        <w:rPr>
          <w:rFonts w:cs="Arial"/>
        </w:rPr>
        <w:t xml:space="preserve"> 2021)</w:t>
      </w:r>
      <w:r w:rsidR="00C5499B">
        <w:rPr>
          <w:rFonts w:cs="Arial"/>
        </w:rPr>
        <w:t>.</w:t>
      </w:r>
      <w:r w:rsidR="00F37072">
        <w:rPr>
          <w:rFonts w:cs="Arial"/>
        </w:rPr>
        <w:t xml:space="preserve"> A higher proportion of people</w:t>
      </w:r>
      <w:r w:rsidR="00C5499B">
        <w:rPr>
          <w:rFonts w:cs="Arial"/>
        </w:rPr>
        <w:t xml:space="preserve"> also</w:t>
      </w:r>
      <w:r w:rsidR="00F37072">
        <w:rPr>
          <w:rFonts w:cs="Arial"/>
        </w:rPr>
        <w:t xml:space="preserve"> rent their properties</w:t>
      </w:r>
      <w:r w:rsidR="00C5499B">
        <w:rPr>
          <w:rFonts w:cs="Arial"/>
        </w:rPr>
        <w:t xml:space="preserve"> (private or social renting</w:t>
      </w:r>
      <w:r w:rsidR="009C338C">
        <w:rPr>
          <w:rFonts w:cs="Arial"/>
        </w:rPr>
        <w:t>)</w:t>
      </w:r>
      <w:r w:rsidR="0037604C">
        <w:rPr>
          <w:rFonts w:cs="Arial"/>
        </w:rPr>
        <w:t xml:space="preserve"> compared to the whole of the Borough with fewer owning their home outright (</w:t>
      </w:r>
      <w:hyperlink r:id="rId24" w:history="1">
        <w:r w:rsidR="00971C01">
          <w:rPr>
            <w:rStyle w:val="Hyperlink"/>
            <w:rFonts w:cs="Arial"/>
          </w:rPr>
          <w:t>ONS</w:t>
        </w:r>
      </w:hyperlink>
      <w:r w:rsidR="00F9297C">
        <w:rPr>
          <w:rFonts w:cs="Arial"/>
        </w:rPr>
        <w:t xml:space="preserve"> 20</w:t>
      </w:r>
      <w:r w:rsidR="0048113A">
        <w:rPr>
          <w:rFonts w:cs="Arial"/>
        </w:rPr>
        <w:t>12)</w:t>
      </w:r>
      <w:r w:rsidR="0037604C">
        <w:rPr>
          <w:rFonts w:cs="Arial"/>
        </w:rPr>
        <w:t>.</w:t>
      </w:r>
    </w:p>
    <w:p w14:paraId="5750D838" w14:textId="77777777" w:rsidR="00C136CD" w:rsidRDefault="00C136CD" w:rsidP="00EE07A4">
      <w:pPr>
        <w:pStyle w:val="NoSpacing"/>
        <w:rPr>
          <w:rFonts w:cs="Arial"/>
        </w:rPr>
      </w:pPr>
    </w:p>
    <w:p w14:paraId="2C3933EF" w14:textId="323995E4" w:rsidR="00940EC8" w:rsidRDefault="00AA3E4D" w:rsidP="00EE07A4">
      <w:pPr>
        <w:pStyle w:val="NoSpacing"/>
        <w:rPr>
          <w:rFonts w:cs="Arial"/>
        </w:rPr>
      </w:pPr>
      <w:r>
        <w:rPr>
          <w:rFonts w:cs="Arial"/>
        </w:rPr>
        <w:t>Maidenhead’s housing provision</w:t>
      </w:r>
      <w:r w:rsidR="00FA6542">
        <w:rPr>
          <w:rFonts w:cs="Arial"/>
        </w:rPr>
        <w:t xml:space="preserve"> has a higher proportion of </w:t>
      </w:r>
      <w:r w:rsidR="00800E33">
        <w:rPr>
          <w:rFonts w:cs="Arial"/>
        </w:rPr>
        <w:t>detached houses than the whole of RBWM</w:t>
      </w:r>
      <w:r w:rsidR="00830FDD">
        <w:rPr>
          <w:rFonts w:cs="Arial"/>
        </w:rPr>
        <w:t xml:space="preserve">. A higher proportion of people also own their home outright or through a mortgage compared </w:t>
      </w:r>
      <w:r w:rsidR="00D76F34">
        <w:rPr>
          <w:rFonts w:cs="Arial"/>
        </w:rPr>
        <w:t>t</w:t>
      </w:r>
      <w:r w:rsidR="00830FDD">
        <w:rPr>
          <w:rFonts w:cs="Arial"/>
        </w:rPr>
        <w:t xml:space="preserve">o the rest of the Borough </w:t>
      </w:r>
      <w:r w:rsidR="0048113A">
        <w:rPr>
          <w:rFonts w:cs="Arial"/>
        </w:rPr>
        <w:t>(</w:t>
      </w:r>
      <w:hyperlink r:id="rId25" w:history="1">
        <w:r w:rsidR="00971C01">
          <w:rPr>
            <w:rStyle w:val="Hyperlink"/>
            <w:rFonts w:cs="Arial"/>
          </w:rPr>
          <w:t>ONS</w:t>
        </w:r>
      </w:hyperlink>
      <w:r w:rsidR="0048113A">
        <w:rPr>
          <w:rFonts w:cs="Arial"/>
        </w:rPr>
        <w:t xml:space="preserve"> 2012).</w:t>
      </w:r>
      <w:r w:rsidR="00371CBE">
        <w:rPr>
          <w:rFonts w:cs="Arial"/>
        </w:rPr>
        <w:t xml:space="preserve"> </w:t>
      </w:r>
    </w:p>
    <w:p w14:paraId="21A05084" w14:textId="1E3DA6EE" w:rsidR="00947A35" w:rsidRDefault="00947A35" w:rsidP="00EE07A4">
      <w:pPr>
        <w:pStyle w:val="NoSpacing"/>
        <w:rPr>
          <w:rFonts w:cs="Arial"/>
        </w:rPr>
      </w:pPr>
    </w:p>
    <w:p w14:paraId="34E260F7" w14:textId="41FA832F" w:rsidR="00940EC8" w:rsidRPr="00526C8B" w:rsidRDefault="00947A35" w:rsidP="00EE07A4">
      <w:pPr>
        <w:pStyle w:val="NoSpacing"/>
        <w:rPr>
          <w:rFonts w:cs="Arial"/>
          <w:b/>
          <w:bCs/>
          <w:color w:val="4F81BD" w:themeColor="accent1"/>
          <w:sz w:val="18"/>
          <w:szCs w:val="18"/>
        </w:rPr>
      </w:pPr>
      <w:r>
        <w:rPr>
          <w:rFonts w:cs="Arial"/>
        </w:rPr>
        <w:t xml:space="preserve">In 2011, </w:t>
      </w:r>
      <w:r w:rsidR="006A6438">
        <w:rPr>
          <w:rFonts w:cs="Arial"/>
        </w:rPr>
        <w:t xml:space="preserve">28% of </w:t>
      </w:r>
      <w:r w:rsidR="00F06B0B">
        <w:rPr>
          <w:rFonts w:cs="Arial"/>
        </w:rPr>
        <w:t>older p</w:t>
      </w:r>
      <w:r w:rsidR="006A6438">
        <w:rPr>
          <w:rFonts w:cs="Arial"/>
        </w:rPr>
        <w:t xml:space="preserve">eople in Maidenhead Town Centre and </w:t>
      </w:r>
      <w:r w:rsidR="00F06B0B">
        <w:rPr>
          <w:rFonts w:cs="Arial"/>
        </w:rPr>
        <w:t>27</w:t>
      </w:r>
      <w:r w:rsidR="006A6438">
        <w:rPr>
          <w:rFonts w:cs="Arial"/>
        </w:rPr>
        <w:t xml:space="preserve">% of </w:t>
      </w:r>
      <w:r w:rsidR="00BD352C">
        <w:rPr>
          <w:rFonts w:cs="Arial"/>
        </w:rPr>
        <w:t xml:space="preserve">older people </w:t>
      </w:r>
      <w:r w:rsidR="006A6438">
        <w:rPr>
          <w:rFonts w:cs="Arial"/>
        </w:rPr>
        <w:t>in Maidenhead were living alone.</w:t>
      </w:r>
      <w:r w:rsidR="0002273C">
        <w:rPr>
          <w:rFonts w:cs="Arial"/>
        </w:rPr>
        <w:t xml:space="preserve"> These were s</w:t>
      </w:r>
      <w:r w:rsidR="00BD352C">
        <w:rPr>
          <w:rFonts w:cs="Arial"/>
        </w:rPr>
        <w:t xml:space="preserve">imilar to the </w:t>
      </w:r>
      <w:r w:rsidR="0002273C">
        <w:rPr>
          <w:rFonts w:cs="Arial"/>
        </w:rPr>
        <w:t>RBWM figure of 2</w:t>
      </w:r>
      <w:r w:rsidR="00BD352C">
        <w:rPr>
          <w:rFonts w:cs="Arial"/>
        </w:rPr>
        <w:t>9</w:t>
      </w:r>
      <w:r w:rsidR="0002273C">
        <w:rPr>
          <w:rFonts w:cs="Arial"/>
        </w:rPr>
        <w:t xml:space="preserve">%. </w:t>
      </w:r>
      <w:r w:rsidR="00BD352C">
        <w:rPr>
          <w:rFonts w:cs="Arial"/>
        </w:rPr>
        <w:t>St Mary’s ward in the town centre had the highest proport</w:t>
      </w:r>
      <w:r w:rsidR="0009213B">
        <w:rPr>
          <w:rFonts w:cs="Arial"/>
        </w:rPr>
        <w:t xml:space="preserve">ion of older people living </w:t>
      </w:r>
      <w:r w:rsidR="00BD352C">
        <w:rPr>
          <w:rFonts w:cs="Arial"/>
        </w:rPr>
        <w:t>alone in the Royal Borough at nearly 46%</w:t>
      </w:r>
      <w:r w:rsidR="00724A85">
        <w:rPr>
          <w:rFonts w:cs="Arial"/>
        </w:rPr>
        <w:t xml:space="preserve"> (</w:t>
      </w:r>
      <w:hyperlink r:id="rId26" w:history="1">
        <w:r w:rsidR="00971C01">
          <w:rPr>
            <w:rStyle w:val="Hyperlink"/>
            <w:rFonts w:cs="Arial"/>
          </w:rPr>
          <w:t>ONS</w:t>
        </w:r>
      </w:hyperlink>
      <w:r w:rsidR="00724A85">
        <w:rPr>
          <w:rFonts w:cs="Arial"/>
        </w:rPr>
        <w:t xml:space="preserve"> 2012).</w:t>
      </w:r>
    </w:p>
    <w:p w14:paraId="377537FC" w14:textId="02149FF7" w:rsidR="00544DB3" w:rsidRDefault="00544DB3" w:rsidP="00EE07A4">
      <w:pPr>
        <w:pStyle w:val="NoSpacing"/>
        <w:rPr>
          <w:rFonts w:cs="Arial"/>
          <w:b/>
          <w:bCs/>
          <w:color w:val="4F81BD" w:themeColor="accent1"/>
          <w:sz w:val="18"/>
          <w:szCs w:val="18"/>
        </w:rPr>
      </w:pPr>
    </w:p>
    <w:p w14:paraId="25A9B11F" w14:textId="77777777" w:rsidR="00B82E5B" w:rsidRPr="00526C8B" w:rsidRDefault="00B82E5B" w:rsidP="00EE07A4">
      <w:pPr>
        <w:pStyle w:val="NoSpacing"/>
        <w:rPr>
          <w:rFonts w:cs="Arial"/>
          <w:b/>
          <w:bCs/>
          <w:color w:val="4F81BD" w:themeColor="accent1"/>
          <w:sz w:val="18"/>
          <w:szCs w:val="18"/>
        </w:rPr>
      </w:pPr>
    </w:p>
    <w:p w14:paraId="799CDFB6" w14:textId="2438E873" w:rsidR="00544DB3" w:rsidRDefault="00544DB3" w:rsidP="00544DB3">
      <w:pPr>
        <w:pStyle w:val="NoSpacing"/>
        <w:rPr>
          <w:rFonts w:cs="Arial"/>
          <w:sz w:val="24"/>
          <w:szCs w:val="24"/>
        </w:rPr>
      </w:pPr>
      <w:r>
        <w:rPr>
          <w:rFonts w:cs="Arial"/>
          <w:b/>
          <w:bCs/>
          <w:i/>
          <w:iCs/>
          <w:color w:val="4F81BD" w:themeColor="accent1"/>
        </w:rPr>
        <w:t>Crime</w:t>
      </w:r>
    </w:p>
    <w:p w14:paraId="1D6CFFC5" w14:textId="726A0896" w:rsidR="00544DB3" w:rsidRDefault="00544DB3" w:rsidP="00EE07A4">
      <w:pPr>
        <w:pStyle w:val="NoSpacing"/>
        <w:rPr>
          <w:rFonts w:cs="Arial"/>
          <w:b/>
          <w:bCs/>
          <w:color w:val="4F81BD" w:themeColor="accent1"/>
          <w:sz w:val="24"/>
          <w:szCs w:val="24"/>
        </w:rPr>
      </w:pPr>
      <w:r w:rsidRPr="006075B6">
        <w:rPr>
          <w:rFonts w:cs="Arial"/>
        </w:rPr>
        <w:t xml:space="preserve">The </w:t>
      </w:r>
      <w:r>
        <w:rPr>
          <w:rFonts w:cs="Arial"/>
        </w:rPr>
        <w:t xml:space="preserve">change in crime rates within Maidenhead Town Centre and Maidenhead </w:t>
      </w:r>
      <w:r w:rsidR="008D278B">
        <w:rPr>
          <w:rFonts w:cs="Arial"/>
        </w:rPr>
        <w:t xml:space="preserve">do track alongside </w:t>
      </w:r>
      <w:r w:rsidR="00DF7E72">
        <w:rPr>
          <w:rFonts w:cs="Arial"/>
        </w:rPr>
        <w:t>RBWM’s overall rates</w:t>
      </w:r>
      <w:r w:rsidR="00B651D6">
        <w:rPr>
          <w:rFonts w:cs="Arial"/>
        </w:rPr>
        <w:t xml:space="preserve">. </w:t>
      </w:r>
      <w:r w:rsidR="008D278B">
        <w:rPr>
          <w:rFonts w:cs="Arial"/>
        </w:rPr>
        <w:t>From Mar-21 to Feb-22, there were</w:t>
      </w:r>
      <w:r w:rsidR="009E5546">
        <w:rPr>
          <w:rFonts w:cs="Arial"/>
        </w:rPr>
        <w:t xml:space="preserve"> </w:t>
      </w:r>
      <w:r w:rsidR="00B651D6">
        <w:rPr>
          <w:rFonts w:cs="Arial"/>
        </w:rPr>
        <w:t xml:space="preserve">3,806 recorded crimes in </w:t>
      </w:r>
      <w:r w:rsidR="00C1521D">
        <w:rPr>
          <w:rFonts w:cs="Arial"/>
        </w:rPr>
        <w:t>Maidenhead</w:t>
      </w:r>
      <w:r w:rsidR="00B651D6">
        <w:rPr>
          <w:rFonts w:cs="Arial"/>
        </w:rPr>
        <w:t xml:space="preserve"> Town Centre at a rate of 73 per 1,000 po</w:t>
      </w:r>
      <w:r w:rsidR="00C1521D">
        <w:rPr>
          <w:rFonts w:cs="Arial"/>
        </w:rPr>
        <w:t>p</w:t>
      </w:r>
      <w:r w:rsidR="00B651D6">
        <w:rPr>
          <w:rFonts w:cs="Arial"/>
        </w:rPr>
        <w:t xml:space="preserve">ulation and </w:t>
      </w:r>
      <w:r w:rsidR="009E5546">
        <w:rPr>
          <w:rFonts w:cs="Arial"/>
        </w:rPr>
        <w:t>5,245 recorded crimes in Maidenhead at a rate</w:t>
      </w:r>
      <w:r w:rsidR="00420A78">
        <w:rPr>
          <w:rFonts w:cs="Arial"/>
        </w:rPr>
        <w:t xml:space="preserve"> </w:t>
      </w:r>
      <w:r w:rsidR="009E5546">
        <w:rPr>
          <w:rFonts w:cs="Arial"/>
        </w:rPr>
        <w:t>of 65 per 1,000 population.</w:t>
      </w:r>
      <w:r w:rsidR="00A94C72">
        <w:rPr>
          <w:rFonts w:cs="Arial"/>
        </w:rPr>
        <w:t xml:space="preserve"> This </w:t>
      </w:r>
      <w:r w:rsidR="00A94C72" w:rsidRPr="00712833">
        <w:rPr>
          <w:rFonts w:cs="Arial"/>
        </w:rPr>
        <w:t>compare</w:t>
      </w:r>
      <w:r w:rsidR="00A94C72">
        <w:rPr>
          <w:rFonts w:cs="Arial"/>
        </w:rPr>
        <w:t>s</w:t>
      </w:r>
      <w:r w:rsidR="00A94C72" w:rsidRPr="00712833">
        <w:rPr>
          <w:rFonts w:cs="Arial"/>
        </w:rPr>
        <w:t xml:space="preserve"> to </w:t>
      </w:r>
      <w:r w:rsidR="00A94C72">
        <w:rPr>
          <w:rFonts w:cs="Arial"/>
        </w:rPr>
        <w:t>69 per 1,000</w:t>
      </w:r>
      <w:r w:rsidR="00A94C72">
        <w:rPr>
          <w:rFonts w:cs="Arial"/>
        </w:rPr>
        <w:t xml:space="preserve"> population</w:t>
      </w:r>
      <w:r w:rsidR="00A94C72">
        <w:rPr>
          <w:rFonts w:cs="Arial"/>
        </w:rPr>
        <w:t xml:space="preserve"> </w:t>
      </w:r>
      <w:r w:rsidR="00A94C72" w:rsidRPr="00712833">
        <w:rPr>
          <w:rFonts w:cs="Arial"/>
        </w:rPr>
        <w:t xml:space="preserve">across the whole of RBWM. </w:t>
      </w:r>
      <w:r w:rsidR="00642252">
        <w:rPr>
          <w:rFonts w:cs="Arial"/>
        </w:rPr>
        <w:t xml:space="preserve"> The main cause of recorded crime was violence and sexual offences.</w:t>
      </w:r>
      <w:r w:rsidR="00C1521D">
        <w:rPr>
          <w:rFonts w:cs="Arial"/>
        </w:rPr>
        <w:t xml:space="preserve"> </w:t>
      </w:r>
      <w:r w:rsidR="00DF4A78">
        <w:rPr>
          <w:rFonts w:cs="Arial"/>
        </w:rPr>
        <w:t xml:space="preserve">The levels of crime across wards within Maidenhead are very similar, apart from St Mary’s </w:t>
      </w:r>
      <w:r w:rsidR="00CB66C1">
        <w:rPr>
          <w:rFonts w:cs="Arial"/>
        </w:rPr>
        <w:t>where rates are around 2.5 times higher than other wards</w:t>
      </w:r>
      <w:r w:rsidR="007E016A">
        <w:rPr>
          <w:rFonts w:cs="Arial"/>
        </w:rPr>
        <w:t xml:space="preserve"> (</w:t>
      </w:r>
      <w:hyperlink r:id="rId27" w:history="1">
        <w:r w:rsidR="007E016A" w:rsidRPr="007E016A">
          <w:rPr>
            <w:rStyle w:val="Hyperlink"/>
            <w:rFonts w:cs="Arial"/>
          </w:rPr>
          <w:t>National Police Service data</w:t>
        </w:r>
      </w:hyperlink>
      <w:r w:rsidR="007E016A">
        <w:rPr>
          <w:rFonts w:cs="Arial"/>
        </w:rPr>
        <w:t xml:space="preserve"> 2022).</w:t>
      </w:r>
    </w:p>
    <w:p w14:paraId="2A1E568A" w14:textId="77777777" w:rsidR="00940EC8" w:rsidRPr="00526C8B" w:rsidRDefault="00940EC8" w:rsidP="00EE07A4">
      <w:pPr>
        <w:pStyle w:val="NoSpacing"/>
        <w:rPr>
          <w:rFonts w:cs="Arial"/>
          <w:b/>
          <w:bCs/>
          <w:color w:val="4F81BD" w:themeColor="accent1"/>
          <w:sz w:val="18"/>
          <w:szCs w:val="18"/>
        </w:rPr>
      </w:pPr>
    </w:p>
    <w:p w14:paraId="499011C2" w14:textId="77777777" w:rsidR="007E016A" w:rsidRPr="00526C8B" w:rsidRDefault="007E016A" w:rsidP="00EE07A4">
      <w:pPr>
        <w:pStyle w:val="NoSpacing"/>
        <w:rPr>
          <w:rFonts w:cs="Arial"/>
          <w:b/>
          <w:bCs/>
          <w:color w:val="4F81BD" w:themeColor="accent1"/>
          <w:sz w:val="18"/>
          <w:szCs w:val="18"/>
          <w:u w:val="single"/>
        </w:rPr>
      </w:pPr>
    </w:p>
    <w:p w14:paraId="0FF9474F" w14:textId="6D3C9E41" w:rsidR="00940EC8" w:rsidRPr="003D06EE" w:rsidRDefault="003D06EE" w:rsidP="00EE07A4">
      <w:pPr>
        <w:pStyle w:val="NoSpacing"/>
        <w:rPr>
          <w:rFonts w:cs="Arial"/>
          <w:b/>
          <w:bCs/>
          <w:color w:val="4F81BD" w:themeColor="accent1"/>
          <w:sz w:val="24"/>
          <w:szCs w:val="24"/>
          <w:u w:val="single"/>
        </w:rPr>
      </w:pPr>
      <w:r w:rsidRPr="003D06EE">
        <w:rPr>
          <w:rFonts w:cs="Arial"/>
          <w:b/>
          <w:bCs/>
          <w:color w:val="4F81BD" w:themeColor="accent1"/>
          <w:sz w:val="24"/>
          <w:szCs w:val="24"/>
          <w:u w:val="single"/>
        </w:rPr>
        <w:t>Lifestyle and health behaviours</w:t>
      </w:r>
    </w:p>
    <w:p w14:paraId="2327C1D5" w14:textId="5400DF7D" w:rsidR="00940EC8" w:rsidRDefault="00940EC8" w:rsidP="00EE07A4">
      <w:pPr>
        <w:pStyle w:val="NoSpacing"/>
        <w:rPr>
          <w:rFonts w:cs="Arial"/>
          <w:b/>
          <w:bCs/>
          <w:color w:val="4F81BD" w:themeColor="accent1"/>
          <w:sz w:val="24"/>
          <w:szCs w:val="24"/>
        </w:rPr>
      </w:pPr>
    </w:p>
    <w:p w14:paraId="20C03842" w14:textId="4130FA25" w:rsidR="00F07137" w:rsidRDefault="00F07137" w:rsidP="00F07137">
      <w:pPr>
        <w:pStyle w:val="NoSpacing"/>
        <w:rPr>
          <w:rFonts w:cs="Arial"/>
          <w:sz w:val="24"/>
          <w:szCs w:val="24"/>
        </w:rPr>
      </w:pPr>
      <w:r>
        <w:rPr>
          <w:rFonts w:cs="Arial"/>
          <w:b/>
          <w:bCs/>
          <w:i/>
          <w:iCs/>
          <w:color w:val="4F81BD" w:themeColor="accent1"/>
        </w:rPr>
        <w:t>Childhood obesity</w:t>
      </w:r>
    </w:p>
    <w:p w14:paraId="7A3C0BCA" w14:textId="6189EF32" w:rsidR="00984875" w:rsidRPr="00670776" w:rsidRDefault="004E2702" w:rsidP="00984875">
      <w:pPr>
        <w:pStyle w:val="NoSpacing"/>
        <w:rPr>
          <w:rFonts w:cs="Arial"/>
          <w:i/>
          <w:iCs/>
          <w:sz w:val="20"/>
          <w:szCs w:val="20"/>
        </w:rPr>
      </w:pPr>
      <w:r>
        <w:rPr>
          <w:rFonts w:cs="Arial"/>
        </w:rPr>
        <w:t>The levels of childhood obesity in Maidenhead Town Centre and Maidenhead</w:t>
      </w:r>
      <w:r w:rsidR="00844597">
        <w:rPr>
          <w:rFonts w:cs="Arial"/>
        </w:rPr>
        <w:t xml:space="preserve"> are similar to RBWM’s and significantly lower than </w:t>
      </w:r>
      <w:r w:rsidR="00AD72D6">
        <w:rPr>
          <w:rFonts w:cs="Arial"/>
        </w:rPr>
        <w:t>the whole Frimley ICS footprint.</w:t>
      </w:r>
      <w:r w:rsidR="00984875">
        <w:rPr>
          <w:rFonts w:cs="Arial"/>
        </w:rPr>
        <w:t xml:space="preserve"> RBWM’s rates of childhood obesity have not significantly changed over the last 5 </w:t>
      </w:r>
      <w:r w:rsidR="00984875" w:rsidRPr="00984875">
        <w:rPr>
          <w:rFonts w:cs="Arial"/>
        </w:rPr>
        <w:t>years (</w:t>
      </w:r>
      <w:hyperlink r:id="rId28" w:anchor="page/3/gid/1938133183/pat/401/par/E06000040/ati/8/are/E05012502/iid/93106/age/200/sex/4/cat/-1/ctp/-1/yrr/3/cid/4/tbm/1" w:history="1">
        <w:r w:rsidR="00984875" w:rsidRPr="00984875">
          <w:rPr>
            <w:rStyle w:val="Hyperlink"/>
            <w:rFonts w:cs="Arial"/>
          </w:rPr>
          <w:t>Office for Health Improvement &amp; Disparities</w:t>
        </w:r>
      </w:hyperlink>
      <w:r w:rsidR="00984875" w:rsidRPr="00984875">
        <w:rPr>
          <w:rFonts w:cs="Arial"/>
        </w:rPr>
        <w:t xml:space="preserve"> 2021)</w:t>
      </w:r>
      <w:r w:rsidR="00984875">
        <w:rPr>
          <w:rFonts w:cs="Arial"/>
        </w:rPr>
        <w:t>.</w:t>
      </w:r>
    </w:p>
    <w:p w14:paraId="408A9D45" w14:textId="6C9D37B2" w:rsidR="00F07137" w:rsidRDefault="00F07137" w:rsidP="00EE07A4">
      <w:pPr>
        <w:pStyle w:val="NoSpacing"/>
        <w:rPr>
          <w:rFonts w:cs="Arial"/>
        </w:rPr>
      </w:pPr>
    </w:p>
    <w:p w14:paraId="083CE1D5" w14:textId="3C98289C" w:rsidR="00940EC8" w:rsidRDefault="0014655B" w:rsidP="00EE07A4">
      <w:pPr>
        <w:pStyle w:val="NoSpacing"/>
        <w:rPr>
          <w:rFonts w:cs="Arial"/>
          <w:b/>
          <w:bCs/>
          <w:color w:val="4F81BD" w:themeColor="accent1"/>
          <w:sz w:val="24"/>
          <w:szCs w:val="24"/>
        </w:rPr>
      </w:pPr>
      <w:r w:rsidRPr="00074219">
        <w:rPr>
          <w:rFonts w:cs="Arial"/>
          <w:b/>
          <w:bCs/>
          <w:noProof/>
          <w:color w:val="4F81BD" w:themeColor="accent1"/>
          <w:sz w:val="24"/>
          <w:szCs w:val="24"/>
        </w:rPr>
        <w:drawing>
          <wp:anchor distT="0" distB="0" distL="114300" distR="114300" simplePos="0" relativeHeight="251664384" behindDoc="1" locked="0" layoutInCell="1" allowOverlap="1" wp14:anchorId="0E9A24EF" wp14:editId="1BF2514A">
            <wp:simplePos x="0" y="0"/>
            <wp:positionH relativeFrom="column">
              <wp:posOffset>-20955</wp:posOffset>
            </wp:positionH>
            <wp:positionV relativeFrom="paragraph">
              <wp:posOffset>174625</wp:posOffset>
            </wp:positionV>
            <wp:extent cx="6300470" cy="1419225"/>
            <wp:effectExtent l="0" t="0" r="5080" b="9525"/>
            <wp:wrapTight wrapText="bothSides">
              <wp:wrapPolygon edited="0">
                <wp:start x="0" y="0"/>
                <wp:lineTo x="0" y="21455"/>
                <wp:lineTo x="21552" y="21455"/>
                <wp:lineTo x="215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t="3686" b="4752"/>
                    <a:stretch/>
                  </pic:blipFill>
                  <pic:spPr bwMode="auto">
                    <a:xfrm>
                      <a:off x="0" y="0"/>
                      <a:ext cx="6300470" cy="1419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E065E" w:rsidRPr="00567774">
        <w:rPr>
          <w:rFonts w:cs="Arial"/>
          <w:b/>
          <w:bCs/>
          <w:sz w:val="20"/>
          <w:szCs w:val="20"/>
        </w:rPr>
        <w:t xml:space="preserve">Figure </w:t>
      </w:r>
      <w:r w:rsidR="007E065E">
        <w:rPr>
          <w:rFonts w:cs="Arial"/>
          <w:b/>
          <w:bCs/>
          <w:sz w:val="20"/>
          <w:szCs w:val="20"/>
        </w:rPr>
        <w:t>4</w:t>
      </w:r>
      <w:r w:rsidR="007E065E" w:rsidRPr="00567774">
        <w:rPr>
          <w:rFonts w:cs="Arial"/>
          <w:b/>
          <w:bCs/>
          <w:sz w:val="20"/>
          <w:szCs w:val="20"/>
        </w:rPr>
        <w:t xml:space="preserve">: </w:t>
      </w:r>
      <w:r w:rsidR="007E065E">
        <w:rPr>
          <w:rFonts w:cs="Arial"/>
          <w:b/>
          <w:bCs/>
          <w:sz w:val="20"/>
          <w:szCs w:val="20"/>
        </w:rPr>
        <w:t xml:space="preserve">Prevalence of </w:t>
      </w:r>
      <w:r w:rsidR="0092622B">
        <w:rPr>
          <w:rFonts w:cs="Arial"/>
          <w:b/>
          <w:bCs/>
          <w:sz w:val="20"/>
          <w:szCs w:val="20"/>
        </w:rPr>
        <w:t xml:space="preserve">overweight and obesity in childhood </w:t>
      </w:r>
      <w:r w:rsidR="000871AC">
        <w:rPr>
          <w:rFonts w:cs="Arial"/>
          <w:b/>
          <w:bCs/>
          <w:sz w:val="20"/>
          <w:szCs w:val="20"/>
        </w:rPr>
        <w:t>(</w:t>
      </w:r>
      <w:r w:rsidR="00163D3E">
        <w:rPr>
          <w:rFonts w:cs="Arial"/>
          <w:b/>
          <w:bCs/>
          <w:sz w:val="20"/>
          <w:szCs w:val="20"/>
        </w:rPr>
        <w:t>3 year data combined 2017/18 to 20</w:t>
      </w:r>
      <w:r w:rsidR="000871AC">
        <w:rPr>
          <w:rFonts w:cs="Arial"/>
          <w:b/>
          <w:bCs/>
          <w:sz w:val="20"/>
          <w:szCs w:val="20"/>
        </w:rPr>
        <w:t>19/20)</w:t>
      </w:r>
    </w:p>
    <w:p w14:paraId="5AC169BA" w14:textId="77777777" w:rsidR="000871AC" w:rsidRDefault="000871AC" w:rsidP="000871AC">
      <w:pPr>
        <w:pStyle w:val="NoSpacing"/>
        <w:rPr>
          <w:rFonts w:cs="Arial"/>
          <w:i/>
          <w:iCs/>
          <w:sz w:val="20"/>
          <w:szCs w:val="20"/>
        </w:rPr>
      </w:pPr>
      <w:r>
        <w:rPr>
          <w:rFonts w:cs="Arial"/>
          <w:i/>
          <w:iCs/>
          <w:sz w:val="20"/>
          <w:szCs w:val="20"/>
        </w:rPr>
        <w:t>Statistical significance is based on 95% confidence intervals</w:t>
      </w:r>
    </w:p>
    <w:p w14:paraId="4901E707" w14:textId="1319D768" w:rsidR="000871AC" w:rsidRPr="00670776" w:rsidRDefault="000871AC" w:rsidP="000871AC">
      <w:pPr>
        <w:pStyle w:val="NoSpacing"/>
        <w:rPr>
          <w:rFonts w:cs="Arial"/>
          <w:i/>
          <w:iCs/>
          <w:sz w:val="20"/>
          <w:szCs w:val="20"/>
        </w:rPr>
      </w:pPr>
      <w:r w:rsidRPr="00670776">
        <w:rPr>
          <w:rFonts w:cs="Arial"/>
          <w:i/>
          <w:iCs/>
          <w:sz w:val="20"/>
          <w:szCs w:val="20"/>
        </w:rPr>
        <w:t xml:space="preserve">Source: </w:t>
      </w:r>
      <w:r>
        <w:rPr>
          <w:rFonts w:cs="Arial"/>
          <w:i/>
          <w:iCs/>
          <w:sz w:val="20"/>
          <w:szCs w:val="20"/>
        </w:rPr>
        <w:t>National Child Measurement Programme</w:t>
      </w:r>
      <w:r w:rsidR="0090161B">
        <w:rPr>
          <w:rFonts w:cs="Arial"/>
          <w:i/>
          <w:iCs/>
          <w:sz w:val="20"/>
          <w:szCs w:val="20"/>
        </w:rPr>
        <w:t xml:space="preserve"> data taken from </w:t>
      </w:r>
      <w:r w:rsidR="0090161B" w:rsidRPr="007D6D7E">
        <w:rPr>
          <w:rFonts w:cs="Arial"/>
          <w:i/>
          <w:iCs/>
          <w:sz w:val="20"/>
          <w:szCs w:val="20"/>
        </w:rPr>
        <w:t>Office for Health Imp</w:t>
      </w:r>
      <w:r w:rsidR="00A51F24" w:rsidRPr="007D6D7E">
        <w:rPr>
          <w:rFonts w:cs="Arial"/>
          <w:i/>
          <w:iCs/>
          <w:sz w:val="20"/>
          <w:szCs w:val="20"/>
        </w:rPr>
        <w:t>rovement &amp; Disparities</w:t>
      </w:r>
      <w:r w:rsidR="00A51F24">
        <w:rPr>
          <w:rFonts w:cs="Arial"/>
          <w:i/>
          <w:iCs/>
          <w:sz w:val="20"/>
          <w:szCs w:val="20"/>
        </w:rPr>
        <w:t xml:space="preserve"> </w:t>
      </w:r>
      <w:hyperlink r:id="rId30" w:anchor="page/3/gid/1938133183/pat/401/par/E06000040/ati/8/are/E05012502/iid/93106/age/200/sex/4/cat/-1/ctp/-1/yrr/3/cid/4/tbm/1" w:history="1">
        <w:r w:rsidR="00A51F24" w:rsidRPr="009D1116">
          <w:rPr>
            <w:rStyle w:val="Hyperlink"/>
            <w:rFonts w:cs="Arial"/>
            <w:i/>
            <w:iCs/>
            <w:sz w:val="20"/>
            <w:szCs w:val="20"/>
          </w:rPr>
          <w:t>Local Health Profile</w:t>
        </w:r>
      </w:hyperlink>
    </w:p>
    <w:p w14:paraId="51603AB5" w14:textId="1E28947B" w:rsidR="007C74A7" w:rsidRDefault="007C74A7" w:rsidP="007C74A7">
      <w:pPr>
        <w:pStyle w:val="NoSpacing"/>
        <w:rPr>
          <w:rFonts w:cs="Arial"/>
          <w:b/>
          <w:bCs/>
          <w:i/>
          <w:iCs/>
          <w:color w:val="4F81BD" w:themeColor="accent1"/>
        </w:rPr>
      </w:pPr>
      <w:r>
        <w:rPr>
          <w:rFonts w:cs="Arial"/>
          <w:b/>
          <w:bCs/>
          <w:i/>
          <w:iCs/>
          <w:color w:val="4F81BD" w:themeColor="accent1"/>
        </w:rPr>
        <w:lastRenderedPageBreak/>
        <w:t xml:space="preserve">Health behaviours for young people </w:t>
      </w:r>
      <w:r w:rsidR="00DB77E8">
        <w:rPr>
          <w:rFonts w:cs="Arial"/>
          <w:b/>
          <w:bCs/>
          <w:i/>
          <w:iCs/>
          <w:color w:val="4F81BD" w:themeColor="accent1"/>
        </w:rPr>
        <w:t>and adults</w:t>
      </w:r>
    </w:p>
    <w:p w14:paraId="033A703F" w14:textId="7A1C39EC" w:rsidR="007C74A7" w:rsidRDefault="007C74A7" w:rsidP="007C74A7">
      <w:pPr>
        <w:pStyle w:val="NoSpacing"/>
        <w:rPr>
          <w:rFonts w:cs="Arial"/>
        </w:rPr>
      </w:pPr>
      <w:r>
        <w:rPr>
          <w:rFonts w:cs="Arial"/>
        </w:rPr>
        <w:t xml:space="preserve">The prevalence rates for different health behaviours are not available at a sub-local authority level. However, </w:t>
      </w:r>
      <w:r w:rsidR="00E079E4">
        <w:rPr>
          <w:rFonts w:cs="Arial"/>
        </w:rPr>
        <w:t xml:space="preserve">national </w:t>
      </w:r>
      <w:r w:rsidR="00A50BBA">
        <w:rPr>
          <w:rFonts w:cs="Arial"/>
        </w:rPr>
        <w:t xml:space="preserve">and local </w:t>
      </w:r>
      <w:r w:rsidR="00E079E4">
        <w:rPr>
          <w:rFonts w:cs="Arial"/>
        </w:rPr>
        <w:t>prevalence</w:t>
      </w:r>
      <w:r>
        <w:rPr>
          <w:rFonts w:cs="Arial"/>
        </w:rPr>
        <w:t xml:space="preserve"> rates can be used to model the estimated number of </w:t>
      </w:r>
      <w:r w:rsidR="00DC5C8C">
        <w:rPr>
          <w:rFonts w:cs="Arial"/>
        </w:rPr>
        <w:t>p</w:t>
      </w:r>
      <w:r w:rsidR="00E079E4">
        <w:rPr>
          <w:rFonts w:cs="Arial"/>
        </w:rPr>
        <w:t xml:space="preserve">eople </w:t>
      </w:r>
      <w:r>
        <w:rPr>
          <w:rFonts w:cs="Arial"/>
        </w:rPr>
        <w:t xml:space="preserve">affected in Maidenhead Town Centre and Maidenhead. These do not take into account the demographic or deprivation profile of </w:t>
      </w:r>
      <w:r w:rsidR="00E02DB9">
        <w:rPr>
          <w:rFonts w:cs="Arial"/>
        </w:rPr>
        <w:t xml:space="preserve">these local geographies </w:t>
      </w:r>
      <w:r>
        <w:rPr>
          <w:rFonts w:cs="Arial"/>
        </w:rPr>
        <w:t xml:space="preserve">and should be used as a guide only. </w:t>
      </w:r>
    </w:p>
    <w:p w14:paraId="4CA09957" w14:textId="77777777" w:rsidR="00991E64" w:rsidRPr="00E533C0" w:rsidRDefault="00991E64" w:rsidP="00991E64">
      <w:pPr>
        <w:pStyle w:val="NoSpacing"/>
        <w:rPr>
          <w:rFonts w:cs="Arial"/>
          <w:sz w:val="16"/>
          <w:szCs w:val="16"/>
        </w:rPr>
      </w:pPr>
    </w:p>
    <w:p w14:paraId="482772E6" w14:textId="62C5E036" w:rsidR="00991E64" w:rsidRDefault="00991E64" w:rsidP="00991E64">
      <w:pPr>
        <w:pStyle w:val="NoSpacing"/>
        <w:rPr>
          <w:rFonts w:cs="Arial"/>
          <w:b/>
          <w:bCs/>
          <w:color w:val="4F81BD" w:themeColor="accent1"/>
          <w:sz w:val="24"/>
          <w:szCs w:val="24"/>
        </w:rPr>
      </w:pPr>
      <w:r w:rsidRPr="00567774">
        <w:rPr>
          <w:rFonts w:cs="Arial"/>
          <w:b/>
          <w:bCs/>
          <w:sz w:val="20"/>
          <w:szCs w:val="20"/>
        </w:rPr>
        <w:t xml:space="preserve">Figure </w:t>
      </w:r>
      <w:r>
        <w:rPr>
          <w:rFonts w:cs="Arial"/>
          <w:b/>
          <w:bCs/>
          <w:sz w:val="20"/>
          <w:szCs w:val="20"/>
        </w:rPr>
        <w:t>5</w:t>
      </w:r>
      <w:r w:rsidRPr="00567774">
        <w:rPr>
          <w:rFonts w:cs="Arial"/>
          <w:b/>
          <w:bCs/>
          <w:sz w:val="20"/>
          <w:szCs w:val="20"/>
        </w:rPr>
        <w:t xml:space="preserve">: </w:t>
      </w:r>
      <w:r>
        <w:rPr>
          <w:rFonts w:cs="Arial"/>
          <w:b/>
          <w:bCs/>
          <w:sz w:val="20"/>
          <w:szCs w:val="20"/>
        </w:rPr>
        <w:t xml:space="preserve">Estimated number of </w:t>
      </w:r>
      <w:r w:rsidR="00DC5C8C">
        <w:rPr>
          <w:rFonts w:cs="Arial"/>
          <w:b/>
          <w:bCs/>
          <w:sz w:val="20"/>
          <w:szCs w:val="20"/>
        </w:rPr>
        <w:t xml:space="preserve">people </w:t>
      </w:r>
      <w:r>
        <w:rPr>
          <w:rFonts w:cs="Arial"/>
          <w:b/>
          <w:bCs/>
          <w:sz w:val="20"/>
          <w:szCs w:val="20"/>
        </w:rPr>
        <w:t>aged 11 to 15 who</w:t>
      </w:r>
      <w:r w:rsidR="00E77EF1">
        <w:rPr>
          <w:rFonts w:cs="Arial"/>
          <w:b/>
          <w:bCs/>
          <w:sz w:val="20"/>
          <w:szCs w:val="20"/>
        </w:rPr>
        <w:t xml:space="preserve"> </w:t>
      </w:r>
      <w:r w:rsidR="00277918">
        <w:rPr>
          <w:rFonts w:cs="Arial"/>
          <w:b/>
          <w:bCs/>
          <w:sz w:val="20"/>
          <w:szCs w:val="20"/>
        </w:rPr>
        <w:t>smoke, drink and take drugs</w:t>
      </w:r>
      <w:r w:rsidR="00B27F32">
        <w:rPr>
          <w:rFonts w:cs="Arial"/>
          <w:b/>
          <w:bCs/>
          <w:sz w:val="20"/>
          <w:szCs w:val="20"/>
        </w:rPr>
        <w:t xml:space="preserve"> </w:t>
      </w:r>
      <w:r>
        <w:rPr>
          <w:rFonts w:cs="Arial"/>
          <w:b/>
          <w:bCs/>
          <w:sz w:val="20"/>
          <w:szCs w:val="20"/>
        </w:rPr>
        <w:t xml:space="preserve">(based on </w:t>
      </w:r>
      <w:r w:rsidR="00B27F32">
        <w:rPr>
          <w:rFonts w:cs="Arial"/>
          <w:b/>
          <w:bCs/>
          <w:sz w:val="20"/>
          <w:szCs w:val="20"/>
        </w:rPr>
        <w:t xml:space="preserve">national prevalence rates and </w:t>
      </w:r>
      <w:r>
        <w:rPr>
          <w:rFonts w:cs="Arial"/>
          <w:b/>
          <w:bCs/>
          <w:sz w:val="20"/>
          <w:szCs w:val="20"/>
        </w:rPr>
        <w:t>2020 mid-year estimates)</w:t>
      </w:r>
    </w:p>
    <w:p w14:paraId="2C6FC8A8" w14:textId="77777777" w:rsidR="00991E64" w:rsidRPr="002829FF" w:rsidRDefault="00991E64" w:rsidP="00991E64">
      <w:pPr>
        <w:pStyle w:val="NoSpacing"/>
        <w:rPr>
          <w:rFonts w:cs="Arial"/>
          <w:b/>
          <w:bCs/>
          <w:i/>
          <w:iCs/>
          <w:color w:val="4F81BD" w:themeColor="accent1"/>
          <w:sz w:val="16"/>
          <w:szCs w:val="16"/>
        </w:rPr>
      </w:pPr>
    </w:p>
    <w:tbl>
      <w:tblPr>
        <w:tblStyle w:val="TableGrid"/>
        <w:tblW w:w="0" w:type="auto"/>
        <w:tblLook w:val="04A0" w:firstRow="1" w:lastRow="0" w:firstColumn="1" w:lastColumn="0" w:noHBand="0" w:noVBand="1"/>
      </w:tblPr>
      <w:tblGrid>
        <w:gridCol w:w="2694"/>
        <w:gridCol w:w="2508"/>
        <w:gridCol w:w="2289"/>
        <w:gridCol w:w="2290"/>
      </w:tblGrid>
      <w:tr w:rsidR="00991E64" w14:paraId="76C54076" w14:textId="77777777" w:rsidTr="0018361D">
        <w:trPr>
          <w:trHeight w:val="407"/>
        </w:trPr>
        <w:tc>
          <w:tcPr>
            <w:tcW w:w="2694" w:type="dxa"/>
            <w:tcBorders>
              <w:top w:val="nil"/>
              <w:left w:val="nil"/>
              <w:bottom w:val="nil"/>
            </w:tcBorders>
          </w:tcPr>
          <w:p w14:paraId="5771AC79" w14:textId="77777777" w:rsidR="00991E64" w:rsidRPr="004A46C8" w:rsidRDefault="00991E64" w:rsidP="0018361D">
            <w:pPr>
              <w:pStyle w:val="NoSpacing"/>
              <w:rPr>
                <w:rFonts w:cs="Arial"/>
                <w:b/>
                <w:bCs/>
                <w:sz w:val="20"/>
                <w:szCs w:val="20"/>
              </w:rPr>
            </w:pPr>
          </w:p>
        </w:tc>
        <w:tc>
          <w:tcPr>
            <w:tcW w:w="7087" w:type="dxa"/>
            <w:gridSpan w:val="3"/>
            <w:vAlign w:val="center"/>
          </w:tcPr>
          <w:p w14:paraId="3EF276D3" w14:textId="59C2F79C" w:rsidR="00991E64" w:rsidRPr="004A46C8" w:rsidRDefault="00991E64" w:rsidP="0018361D">
            <w:pPr>
              <w:pStyle w:val="NoSpacing"/>
              <w:jc w:val="center"/>
              <w:rPr>
                <w:rFonts w:cs="Arial"/>
                <w:b/>
                <w:bCs/>
                <w:sz w:val="20"/>
                <w:szCs w:val="20"/>
              </w:rPr>
            </w:pPr>
            <w:r>
              <w:rPr>
                <w:rFonts w:cs="Arial"/>
                <w:b/>
                <w:bCs/>
                <w:sz w:val="20"/>
                <w:szCs w:val="20"/>
              </w:rPr>
              <w:t xml:space="preserve">Estimated number of </w:t>
            </w:r>
            <w:r w:rsidR="001A3C8B">
              <w:rPr>
                <w:rFonts w:cs="Arial"/>
                <w:b/>
                <w:bCs/>
                <w:sz w:val="20"/>
                <w:szCs w:val="20"/>
              </w:rPr>
              <w:t>children aged 11 to 15</w:t>
            </w:r>
            <w:r>
              <w:rPr>
                <w:rFonts w:cs="Arial"/>
                <w:b/>
                <w:bCs/>
                <w:sz w:val="20"/>
                <w:szCs w:val="20"/>
              </w:rPr>
              <w:t xml:space="preserve"> who:</w:t>
            </w:r>
          </w:p>
        </w:tc>
      </w:tr>
      <w:tr w:rsidR="00991E64" w14:paraId="36D0905A" w14:textId="77777777" w:rsidTr="0018361D">
        <w:trPr>
          <w:trHeight w:val="819"/>
        </w:trPr>
        <w:tc>
          <w:tcPr>
            <w:tcW w:w="2694" w:type="dxa"/>
            <w:tcBorders>
              <w:top w:val="nil"/>
              <w:left w:val="nil"/>
            </w:tcBorders>
          </w:tcPr>
          <w:p w14:paraId="0846D779" w14:textId="77777777" w:rsidR="00991E64" w:rsidRPr="004A46C8" w:rsidRDefault="00991E64" w:rsidP="0018361D">
            <w:pPr>
              <w:pStyle w:val="NoSpacing"/>
              <w:rPr>
                <w:rFonts w:cs="Arial"/>
                <w:b/>
                <w:bCs/>
                <w:sz w:val="20"/>
                <w:szCs w:val="20"/>
              </w:rPr>
            </w:pPr>
          </w:p>
        </w:tc>
        <w:tc>
          <w:tcPr>
            <w:tcW w:w="2508" w:type="dxa"/>
            <w:vAlign w:val="center"/>
          </w:tcPr>
          <w:p w14:paraId="20C4DFF3" w14:textId="4F217423" w:rsidR="00991E64" w:rsidRDefault="001A3C8B" w:rsidP="0018361D">
            <w:pPr>
              <w:pStyle w:val="NoSpacing"/>
              <w:jc w:val="center"/>
              <w:rPr>
                <w:rFonts w:cs="Arial"/>
                <w:b/>
                <w:bCs/>
                <w:sz w:val="20"/>
                <w:szCs w:val="20"/>
              </w:rPr>
            </w:pPr>
            <w:r>
              <w:rPr>
                <w:rFonts w:cs="Arial"/>
                <w:b/>
                <w:bCs/>
                <w:sz w:val="20"/>
                <w:szCs w:val="20"/>
              </w:rPr>
              <w:t>Current s</w:t>
            </w:r>
            <w:r w:rsidR="00991E64">
              <w:rPr>
                <w:rFonts w:cs="Arial"/>
                <w:b/>
                <w:bCs/>
                <w:sz w:val="20"/>
                <w:szCs w:val="20"/>
              </w:rPr>
              <w:t>mokers</w:t>
            </w:r>
          </w:p>
          <w:p w14:paraId="3BD04073" w14:textId="44CDAEC3" w:rsidR="00991E64" w:rsidRPr="00BE5380" w:rsidRDefault="00991E64" w:rsidP="0018361D">
            <w:pPr>
              <w:pStyle w:val="NoSpacing"/>
              <w:jc w:val="center"/>
              <w:rPr>
                <w:rFonts w:cs="Arial"/>
                <w:sz w:val="20"/>
                <w:szCs w:val="20"/>
              </w:rPr>
            </w:pPr>
            <w:r w:rsidRPr="00BE5380">
              <w:rPr>
                <w:rFonts w:cs="Arial"/>
                <w:sz w:val="20"/>
                <w:szCs w:val="20"/>
              </w:rPr>
              <w:t xml:space="preserve">(at prevalence of </w:t>
            </w:r>
            <w:r w:rsidR="001A3C8B">
              <w:rPr>
                <w:rFonts w:cs="Arial"/>
                <w:sz w:val="20"/>
                <w:szCs w:val="20"/>
              </w:rPr>
              <w:t>4</w:t>
            </w:r>
            <w:r w:rsidRPr="00BE5380">
              <w:rPr>
                <w:rFonts w:cs="Arial"/>
                <w:sz w:val="20"/>
                <w:szCs w:val="20"/>
              </w:rPr>
              <w:t>%)</w:t>
            </w:r>
          </w:p>
        </w:tc>
        <w:tc>
          <w:tcPr>
            <w:tcW w:w="2289" w:type="dxa"/>
            <w:vAlign w:val="center"/>
          </w:tcPr>
          <w:p w14:paraId="23B9583E" w14:textId="77777777" w:rsidR="001A3C8B" w:rsidRDefault="001A3C8B" w:rsidP="0018361D">
            <w:pPr>
              <w:pStyle w:val="NoSpacing"/>
              <w:jc w:val="center"/>
              <w:rPr>
                <w:rFonts w:cs="Arial"/>
                <w:b/>
                <w:bCs/>
                <w:sz w:val="20"/>
                <w:szCs w:val="20"/>
              </w:rPr>
            </w:pPr>
            <w:r>
              <w:rPr>
                <w:rFonts w:cs="Arial"/>
                <w:b/>
                <w:bCs/>
                <w:sz w:val="20"/>
                <w:szCs w:val="20"/>
              </w:rPr>
              <w:t>Drank alcohol in the last week</w:t>
            </w:r>
          </w:p>
          <w:p w14:paraId="3F454715" w14:textId="7209C836" w:rsidR="00991E64" w:rsidRPr="004A46C8" w:rsidRDefault="00991E64" w:rsidP="0018361D">
            <w:pPr>
              <w:pStyle w:val="NoSpacing"/>
              <w:jc w:val="center"/>
              <w:rPr>
                <w:rFonts w:cs="Arial"/>
                <w:b/>
                <w:bCs/>
                <w:sz w:val="20"/>
                <w:szCs w:val="20"/>
              </w:rPr>
            </w:pPr>
            <w:r w:rsidRPr="00BE5380">
              <w:rPr>
                <w:rFonts w:cs="Arial"/>
                <w:sz w:val="20"/>
                <w:szCs w:val="20"/>
              </w:rPr>
              <w:t xml:space="preserve">(at prevalence of </w:t>
            </w:r>
            <w:r w:rsidR="00AD6678">
              <w:rPr>
                <w:rFonts w:cs="Arial"/>
                <w:sz w:val="20"/>
                <w:szCs w:val="20"/>
              </w:rPr>
              <w:t>9</w:t>
            </w:r>
            <w:r w:rsidRPr="00BE5380">
              <w:rPr>
                <w:rFonts w:cs="Arial"/>
                <w:sz w:val="20"/>
                <w:szCs w:val="20"/>
              </w:rPr>
              <w:t>%)</w:t>
            </w:r>
          </w:p>
        </w:tc>
        <w:tc>
          <w:tcPr>
            <w:tcW w:w="2290" w:type="dxa"/>
            <w:vAlign w:val="center"/>
          </w:tcPr>
          <w:p w14:paraId="30383B8E" w14:textId="77777777" w:rsidR="00AD6678" w:rsidRDefault="00AD6678" w:rsidP="00AD6678">
            <w:pPr>
              <w:pStyle w:val="NoSpacing"/>
              <w:jc w:val="center"/>
              <w:rPr>
                <w:rFonts w:cs="Arial"/>
                <w:b/>
                <w:bCs/>
                <w:sz w:val="20"/>
                <w:szCs w:val="20"/>
              </w:rPr>
            </w:pPr>
            <w:r>
              <w:rPr>
                <w:rFonts w:cs="Arial"/>
                <w:b/>
                <w:bCs/>
                <w:sz w:val="20"/>
                <w:szCs w:val="20"/>
              </w:rPr>
              <w:t>Took drugs in the last month</w:t>
            </w:r>
          </w:p>
          <w:p w14:paraId="19002D24" w14:textId="5440DEC4" w:rsidR="00991E64" w:rsidRPr="00BE5380" w:rsidRDefault="00991E64" w:rsidP="00AD6678">
            <w:pPr>
              <w:pStyle w:val="NoSpacing"/>
              <w:jc w:val="center"/>
              <w:rPr>
                <w:rFonts w:cs="Arial"/>
                <w:sz w:val="20"/>
                <w:szCs w:val="20"/>
              </w:rPr>
            </w:pPr>
            <w:r w:rsidRPr="00BE5380">
              <w:rPr>
                <w:rFonts w:cs="Arial"/>
                <w:sz w:val="20"/>
                <w:szCs w:val="20"/>
              </w:rPr>
              <w:t xml:space="preserve">(at prevalence of </w:t>
            </w:r>
            <w:r w:rsidR="00AD6678">
              <w:rPr>
                <w:rFonts w:cs="Arial"/>
                <w:sz w:val="20"/>
                <w:szCs w:val="20"/>
              </w:rPr>
              <w:t>8</w:t>
            </w:r>
            <w:r w:rsidRPr="00BE5380">
              <w:rPr>
                <w:rFonts w:cs="Arial"/>
                <w:sz w:val="20"/>
                <w:szCs w:val="20"/>
              </w:rPr>
              <w:t>%)</w:t>
            </w:r>
          </w:p>
        </w:tc>
      </w:tr>
      <w:tr w:rsidR="00991E64" w14:paraId="286AC804" w14:textId="77777777" w:rsidTr="0018361D">
        <w:tc>
          <w:tcPr>
            <w:tcW w:w="2694" w:type="dxa"/>
          </w:tcPr>
          <w:p w14:paraId="7A3E911A" w14:textId="77777777" w:rsidR="00991E64" w:rsidRPr="004A46C8" w:rsidRDefault="00991E64" w:rsidP="0018361D">
            <w:pPr>
              <w:pStyle w:val="NoSpacing"/>
              <w:rPr>
                <w:rFonts w:cs="Arial"/>
                <w:b/>
                <w:bCs/>
                <w:sz w:val="20"/>
                <w:szCs w:val="20"/>
              </w:rPr>
            </w:pPr>
            <w:r w:rsidRPr="004A46C8">
              <w:rPr>
                <w:rFonts w:cs="Arial"/>
                <w:b/>
                <w:bCs/>
                <w:sz w:val="20"/>
                <w:szCs w:val="20"/>
              </w:rPr>
              <w:t>Maidenhead Town Centre</w:t>
            </w:r>
          </w:p>
        </w:tc>
        <w:tc>
          <w:tcPr>
            <w:tcW w:w="2508" w:type="dxa"/>
            <w:vAlign w:val="bottom"/>
          </w:tcPr>
          <w:p w14:paraId="4D518C6E" w14:textId="6A299F9B" w:rsidR="00991E64" w:rsidRPr="00DB77E8" w:rsidRDefault="00DB77E8" w:rsidP="0018361D">
            <w:pPr>
              <w:pStyle w:val="NoSpacing"/>
              <w:jc w:val="center"/>
              <w:rPr>
                <w:rFonts w:cs="Arial"/>
                <w:sz w:val="20"/>
                <w:szCs w:val="20"/>
              </w:rPr>
            </w:pPr>
            <w:r w:rsidRPr="00DB77E8">
              <w:rPr>
                <w:rFonts w:cs="Arial"/>
                <w:sz w:val="20"/>
                <w:szCs w:val="20"/>
              </w:rPr>
              <w:t>135</w:t>
            </w:r>
          </w:p>
        </w:tc>
        <w:tc>
          <w:tcPr>
            <w:tcW w:w="2289" w:type="dxa"/>
            <w:vAlign w:val="bottom"/>
          </w:tcPr>
          <w:p w14:paraId="4C8526B6" w14:textId="40C94F0A" w:rsidR="00991E64" w:rsidRPr="004A46C8" w:rsidRDefault="000C2B5C" w:rsidP="0018361D">
            <w:pPr>
              <w:pStyle w:val="NoSpacing"/>
              <w:jc w:val="center"/>
              <w:rPr>
                <w:rFonts w:cs="Arial"/>
                <w:b/>
                <w:bCs/>
                <w:sz w:val="20"/>
                <w:szCs w:val="20"/>
              </w:rPr>
            </w:pPr>
            <w:r>
              <w:rPr>
                <w:rFonts w:cs="Arial"/>
                <w:color w:val="000000"/>
                <w:sz w:val="20"/>
                <w:szCs w:val="20"/>
              </w:rPr>
              <w:t>304</w:t>
            </w:r>
          </w:p>
        </w:tc>
        <w:tc>
          <w:tcPr>
            <w:tcW w:w="2290" w:type="dxa"/>
            <w:vAlign w:val="bottom"/>
          </w:tcPr>
          <w:p w14:paraId="2B2AEA49" w14:textId="524F2B9E" w:rsidR="00991E64" w:rsidRPr="004A46C8" w:rsidRDefault="005E1B14" w:rsidP="0018361D">
            <w:pPr>
              <w:pStyle w:val="NoSpacing"/>
              <w:jc w:val="center"/>
              <w:rPr>
                <w:rFonts w:cs="Arial"/>
                <w:b/>
                <w:bCs/>
                <w:sz w:val="20"/>
                <w:szCs w:val="20"/>
              </w:rPr>
            </w:pPr>
            <w:r>
              <w:rPr>
                <w:rFonts w:cs="Arial"/>
                <w:color w:val="000000"/>
                <w:sz w:val="20"/>
                <w:szCs w:val="20"/>
              </w:rPr>
              <w:t>270</w:t>
            </w:r>
          </w:p>
        </w:tc>
      </w:tr>
      <w:tr w:rsidR="00991E64" w14:paraId="11AB8D9B" w14:textId="77777777" w:rsidTr="0018361D">
        <w:tc>
          <w:tcPr>
            <w:tcW w:w="2694" w:type="dxa"/>
          </w:tcPr>
          <w:p w14:paraId="2387FE99" w14:textId="77777777" w:rsidR="00991E64" w:rsidRPr="004A46C8" w:rsidRDefault="00991E64" w:rsidP="0018361D">
            <w:pPr>
              <w:pStyle w:val="NoSpacing"/>
              <w:rPr>
                <w:rFonts w:cs="Arial"/>
                <w:b/>
                <w:bCs/>
                <w:sz w:val="20"/>
                <w:szCs w:val="20"/>
              </w:rPr>
            </w:pPr>
            <w:r w:rsidRPr="004A46C8">
              <w:rPr>
                <w:rFonts w:cs="Arial"/>
                <w:b/>
                <w:bCs/>
                <w:sz w:val="20"/>
                <w:szCs w:val="20"/>
              </w:rPr>
              <w:t>Maidenhead</w:t>
            </w:r>
          </w:p>
        </w:tc>
        <w:tc>
          <w:tcPr>
            <w:tcW w:w="2508" w:type="dxa"/>
            <w:vAlign w:val="bottom"/>
          </w:tcPr>
          <w:p w14:paraId="333EEF73" w14:textId="45EB5B12" w:rsidR="00991E64" w:rsidRPr="00DB77E8" w:rsidRDefault="00DB77E8" w:rsidP="0018361D">
            <w:pPr>
              <w:pStyle w:val="NoSpacing"/>
              <w:jc w:val="center"/>
              <w:rPr>
                <w:rFonts w:cs="Arial"/>
                <w:sz w:val="20"/>
                <w:szCs w:val="20"/>
              </w:rPr>
            </w:pPr>
            <w:r w:rsidRPr="00DB77E8">
              <w:rPr>
                <w:rFonts w:cs="Arial"/>
                <w:sz w:val="20"/>
                <w:szCs w:val="20"/>
              </w:rPr>
              <w:t>209</w:t>
            </w:r>
          </w:p>
        </w:tc>
        <w:tc>
          <w:tcPr>
            <w:tcW w:w="2289" w:type="dxa"/>
            <w:vAlign w:val="bottom"/>
          </w:tcPr>
          <w:p w14:paraId="1074EDA4" w14:textId="34B366B1" w:rsidR="00991E64" w:rsidRPr="000C2B5C" w:rsidRDefault="000C2B5C" w:rsidP="0018361D">
            <w:pPr>
              <w:pStyle w:val="NoSpacing"/>
              <w:jc w:val="center"/>
              <w:rPr>
                <w:rFonts w:cs="Arial"/>
                <w:sz w:val="20"/>
                <w:szCs w:val="20"/>
              </w:rPr>
            </w:pPr>
            <w:r w:rsidRPr="000C2B5C">
              <w:rPr>
                <w:rFonts w:cs="Arial"/>
                <w:sz w:val="20"/>
                <w:szCs w:val="20"/>
              </w:rPr>
              <w:t>471</w:t>
            </w:r>
          </w:p>
        </w:tc>
        <w:tc>
          <w:tcPr>
            <w:tcW w:w="2290" w:type="dxa"/>
            <w:vAlign w:val="bottom"/>
          </w:tcPr>
          <w:p w14:paraId="70CD5E67" w14:textId="739CD774" w:rsidR="00991E64" w:rsidRPr="004A46C8" w:rsidRDefault="005E1B14" w:rsidP="0018361D">
            <w:pPr>
              <w:pStyle w:val="NoSpacing"/>
              <w:jc w:val="center"/>
              <w:rPr>
                <w:rFonts w:cs="Arial"/>
                <w:b/>
                <w:bCs/>
                <w:sz w:val="20"/>
                <w:szCs w:val="20"/>
              </w:rPr>
            </w:pPr>
            <w:r>
              <w:rPr>
                <w:rFonts w:cs="Arial"/>
                <w:color w:val="000000"/>
                <w:sz w:val="20"/>
                <w:szCs w:val="20"/>
              </w:rPr>
              <w:t>419</w:t>
            </w:r>
          </w:p>
        </w:tc>
      </w:tr>
    </w:tbl>
    <w:p w14:paraId="7D643445" w14:textId="77777777" w:rsidR="00991E64" w:rsidRPr="00170697" w:rsidRDefault="00991E64" w:rsidP="00991E64">
      <w:pPr>
        <w:pStyle w:val="NoSpacing"/>
        <w:rPr>
          <w:rFonts w:cs="Arial"/>
          <w:i/>
          <w:iCs/>
          <w:sz w:val="8"/>
          <w:szCs w:val="8"/>
        </w:rPr>
      </w:pPr>
    </w:p>
    <w:p w14:paraId="370219D7" w14:textId="2681FD76" w:rsidR="00AD6678" w:rsidRPr="00454D54" w:rsidRDefault="00AD6678" w:rsidP="00AD6678">
      <w:pPr>
        <w:rPr>
          <w:sz w:val="20"/>
          <w:szCs w:val="20"/>
        </w:rPr>
      </w:pPr>
      <w:r w:rsidRPr="00FF262F">
        <w:rPr>
          <w:rFonts w:cs="Arial"/>
          <w:i/>
          <w:sz w:val="20"/>
          <w:szCs w:val="20"/>
        </w:rPr>
        <w:t xml:space="preserve">Source: Prevalence from NHS Digital (2019) </w:t>
      </w:r>
      <w:hyperlink r:id="rId31" w:history="1">
        <w:r w:rsidRPr="00FF262F">
          <w:rPr>
            <w:rFonts w:cs="Arial"/>
            <w:i/>
            <w:color w:val="0000FF"/>
            <w:sz w:val="20"/>
            <w:szCs w:val="20"/>
            <w:u w:val="single"/>
          </w:rPr>
          <w:t>Smoking, Drinking and Drug Use Among Young People in England - 2018</w:t>
        </w:r>
      </w:hyperlink>
      <w:r w:rsidRPr="00FF262F">
        <w:rPr>
          <w:rFonts w:cs="Arial"/>
          <w:i/>
          <w:sz w:val="20"/>
          <w:szCs w:val="20"/>
        </w:rPr>
        <w:t xml:space="preserve">; </w:t>
      </w:r>
      <w:r w:rsidR="00277918">
        <w:rPr>
          <w:rFonts w:cs="Arial"/>
          <w:i/>
          <w:iCs/>
          <w:sz w:val="20"/>
          <w:szCs w:val="20"/>
        </w:rPr>
        <w:t xml:space="preserve">Population estimates - ONS (2021); </w:t>
      </w:r>
      <w:hyperlink r:id="rId32" w:history="1">
        <w:r w:rsidR="00277918" w:rsidRPr="00110CD5">
          <w:rPr>
            <w:rStyle w:val="Hyperlink"/>
            <w:rFonts w:cs="Arial"/>
            <w:i/>
            <w:iCs/>
            <w:sz w:val="20"/>
            <w:szCs w:val="20"/>
          </w:rPr>
          <w:t>LSOA population estimates</w:t>
        </w:r>
      </w:hyperlink>
    </w:p>
    <w:p w14:paraId="79C9C53C" w14:textId="77777777" w:rsidR="00991E64" w:rsidRDefault="00991E64" w:rsidP="00F00576">
      <w:pPr>
        <w:rPr>
          <w:rFonts w:cs="Arial"/>
          <w:i/>
          <w:highlight w:val="cyan"/>
        </w:rPr>
      </w:pPr>
    </w:p>
    <w:p w14:paraId="1659CC57" w14:textId="77777777" w:rsidR="00277918" w:rsidRDefault="00277918" w:rsidP="002829FF">
      <w:pPr>
        <w:pStyle w:val="NoSpacing"/>
        <w:rPr>
          <w:rFonts w:cs="Arial"/>
          <w:b/>
          <w:bCs/>
          <w:sz w:val="20"/>
          <w:szCs w:val="20"/>
        </w:rPr>
      </w:pPr>
    </w:p>
    <w:p w14:paraId="7D64876F" w14:textId="02BFE250" w:rsidR="002829FF" w:rsidRDefault="002612D6" w:rsidP="002829FF">
      <w:pPr>
        <w:pStyle w:val="NoSpacing"/>
        <w:rPr>
          <w:rFonts w:cs="Arial"/>
          <w:b/>
          <w:bCs/>
          <w:color w:val="4F81BD" w:themeColor="accent1"/>
          <w:sz w:val="24"/>
          <w:szCs w:val="24"/>
        </w:rPr>
      </w:pPr>
      <w:r w:rsidRPr="00567774">
        <w:rPr>
          <w:rFonts w:cs="Arial"/>
          <w:b/>
          <w:bCs/>
          <w:sz w:val="20"/>
          <w:szCs w:val="20"/>
        </w:rPr>
        <w:t xml:space="preserve">Figure </w:t>
      </w:r>
      <w:r w:rsidR="007C74A7">
        <w:rPr>
          <w:rFonts w:cs="Arial"/>
          <w:b/>
          <w:bCs/>
          <w:sz w:val="20"/>
          <w:szCs w:val="20"/>
        </w:rPr>
        <w:t>6</w:t>
      </w:r>
      <w:r w:rsidRPr="00567774">
        <w:rPr>
          <w:rFonts w:cs="Arial"/>
          <w:b/>
          <w:bCs/>
          <w:sz w:val="20"/>
          <w:szCs w:val="20"/>
        </w:rPr>
        <w:t xml:space="preserve">: </w:t>
      </w:r>
      <w:r>
        <w:rPr>
          <w:rFonts w:cs="Arial"/>
          <w:b/>
          <w:bCs/>
          <w:sz w:val="20"/>
          <w:szCs w:val="20"/>
        </w:rPr>
        <w:t>Estimated number of adults aged 18 and over who smoke, have excess weight and are physically inactive</w:t>
      </w:r>
      <w:r w:rsidR="002829FF">
        <w:rPr>
          <w:rFonts w:cs="Arial"/>
          <w:b/>
          <w:bCs/>
          <w:sz w:val="20"/>
          <w:szCs w:val="20"/>
        </w:rPr>
        <w:t xml:space="preserve"> (based on 2020 mid-year estimates)</w:t>
      </w:r>
    </w:p>
    <w:p w14:paraId="4A5A3764" w14:textId="14ACA8F5" w:rsidR="002612D6" w:rsidRPr="002829FF" w:rsidRDefault="002612D6" w:rsidP="0087212E">
      <w:pPr>
        <w:pStyle w:val="NoSpacing"/>
        <w:rPr>
          <w:rFonts w:cs="Arial"/>
          <w:b/>
          <w:bCs/>
          <w:i/>
          <w:iCs/>
          <w:color w:val="4F81BD" w:themeColor="accent1"/>
          <w:sz w:val="16"/>
          <w:szCs w:val="16"/>
        </w:rPr>
      </w:pPr>
    </w:p>
    <w:tbl>
      <w:tblPr>
        <w:tblStyle w:val="TableGrid"/>
        <w:tblW w:w="0" w:type="auto"/>
        <w:tblLook w:val="04A0" w:firstRow="1" w:lastRow="0" w:firstColumn="1" w:lastColumn="0" w:noHBand="0" w:noVBand="1"/>
      </w:tblPr>
      <w:tblGrid>
        <w:gridCol w:w="2694"/>
        <w:gridCol w:w="2508"/>
        <w:gridCol w:w="2289"/>
        <w:gridCol w:w="2290"/>
      </w:tblGrid>
      <w:tr w:rsidR="005B50EF" w14:paraId="304A0822" w14:textId="77777777" w:rsidTr="00170DC5">
        <w:trPr>
          <w:trHeight w:val="407"/>
        </w:trPr>
        <w:tc>
          <w:tcPr>
            <w:tcW w:w="2694" w:type="dxa"/>
            <w:tcBorders>
              <w:top w:val="nil"/>
              <w:left w:val="nil"/>
              <w:bottom w:val="nil"/>
            </w:tcBorders>
          </w:tcPr>
          <w:p w14:paraId="10AC5BC5" w14:textId="77777777" w:rsidR="005B50EF" w:rsidRPr="004A46C8" w:rsidRDefault="005B50EF" w:rsidP="0018361D">
            <w:pPr>
              <w:pStyle w:val="NoSpacing"/>
              <w:rPr>
                <w:rFonts w:cs="Arial"/>
                <w:b/>
                <w:bCs/>
                <w:sz w:val="20"/>
                <w:szCs w:val="20"/>
              </w:rPr>
            </w:pPr>
          </w:p>
        </w:tc>
        <w:tc>
          <w:tcPr>
            <w:tcW w:w="7087" w:type="dxa"/>
            <w:gridSpan w:val="3"/>
            <w:vAlign w:val="center"/>
          </w:tcPr>
          <w:p w14:paraId="54E8E66A" w14:textId="314E993C" w:rsidR="002612D6" w:rsidRPr="004A46C8" w:rsidRDefault="005B50EF" w:rsidP="00170DC5">
            <w:pPr>
              <w:pStyle w:val="NoSpacing"/>
              <w:jc w:val="center"/>
              <w:rPr>
                <w:rFonts w:cs="Arial"/>
                <w:b/>
                <w:bCs/>
                <w:sz w:val="20"/>
                <w:szCs w:val="20"/>
              </w:rPr>
            </w:pPr>
            <w:r>
              <w:rPr>
                <w:rFonts w:cs="Arial"/>
                <w:b/>
                <w:bCs/>
                <w:sz w:val="20"/>
                <w:szCs w:val="20"/>
              </w:rPr>
              <w:t>Estimated number of adults aged 18</w:t>
            </w:r>
            <w:r w:rsidR="00481CDC">
              <w:rPr>
                <w:rFonts w:cs="Arial"/>
                <w:b/>
                <w:bCs/>
                <w:sz w:val="20"/>
                <w:szCs w:val="20"/>
              </w:rPr>
              <w:t xml:space="preserve"> who are:</w:t>
            </w:r>
          </w:p>
        </w:tc>
      </w:tr>
      <w:tr w:rsidR="005B50EF" w14:paraId="2B7C6A28" w14:textId="77777777" w:rsidTr="00BE5380">
        <w:trPr>
          <w:trHeight w:val="819"/>
        </w:trPr>
        <w:tc>
          <w:tcPr>
            <w:tcW w:w="2694" w:type="dxa"/>
            <w:tcBorders>
              <w:top w:val="nil"/>
              <w:left w:val="nil"/>
            </w:tcBorders>
          </w:tcPr>
          <w:p w14:paraId="130FDCD5" w14:textId="77777777" w:rsidR="005B50EF" w:rsidRPr="004A46C8" w:rsidRDefault="005B50EF" w:rsidP="0018361D">
            <w:pPr>
              <w:pStyle w:val="NoSpacing"/>
              <w:rPr>
                <w:rFonts w:cs="Arial"/>
                <w:b/>
                <w:bCs/>
                <w:sz w:val="20"/>
                <w:szCs w:val="20"/>
              </w:rPr>
            </w:pPr>
          </w:p>
        </w:tc>
        <w:tc>
          <w:tcPr>
            <w:tcW w:w="2508" w:type="dxa"/>
            <w:vAlign w:val="center"/>
          </w:tcPr>
          <w:p w14:paraId="1F8A3467" w14:textId="2B83DDB2" w:rsidR="005B50EF" w:rsidRDefault="005B50EF" w:rsidP="00170697">
            <w:pPr>
              <w:pStyle w:val="NoSpacing"/>
              <w:jc w:val="center"/>
              <w:rPr>
                <w:rFonts w:cs="Arial"/>
                <w:b/>
                <w:bCs/>
                <w:sz w:val="20"/>
                <w:szCs w:val="20"/>
              </w:rPr>
            </w:pPr>
            <w:r>
              <w:rPr>
                <w:rFonts w:cs="Arial"/>
                <w:b/>
                <w:bCs/>
                <w:sz w:val="20"/>
                <w:szCs w:val="20"/>
              </w:rPr>
              <w:t>Smokers</w:t>
            </w:r>
          </w:p>
          <w:p w14:paraId="629789BB" w14:textId="2694A5F7" w:rsidR="005B50EF" w:rsidRPr="00BE5380" w:rsidRDefault="005B50EF" w:rsidP="00170697">
            <w:pPr>
              <w:pStyle w:val="NoSpacing"/>
              <w:jc w:val="center"/>
              <w:rPr>
                <w:rFonts w:cs="Arial"/>
                <w:sz w:val="20"/>
                <w:szCs w:val="20"/>
              </w:rPr>
            </w:pPr>
            <w:r w:rsidRPr="00BE5380">
              <w:rPr>
                <w:rFonts w:cs="Arial"/>
                <w:sz w:val="20"/>
                <w:szCs w:val="20"/>
              </w:rPr>
              <w:t>(at prevalence of 10.3%)</w:t>
            </w:r>
          </w:p>
        </w:tc>
        <w:tc>
          <w:tcPr>
            <w:tcW w:w="2289" w:type="dxa"/>
            <w:vAlign w:val="center"/>
          </w:tcPr>
          <w:p w14:paraId="6A8BA72B" w14:textId="4FA16D03" w:rsidR="005B50EF" w:rsidRPr="004A46C8" w:rsidRDefault="005B50EF" w:rsidP="00170697">
            <w:pPr>
              <w:pStyle w:val="NoSpacing"/>
              <w:jc w:val="center"/>
              <w:rPr>
                <w:rFonts w:cs="Arial"/>
                <w:b/>
                <w:bCs/>
                <w:sz w:val="20"/>
                <w:szCs w:val="20"/>
              </w:rPr>
            </w:pPr>
            <w:r>
              <w:rPr>
                <w:rFonts w:cs="Arial"/>
                <w:b/>
                <w:bCs/>
                <w:sz w:val="20"/>
                <w:szCs w:val="20"/>
              </w:rPr>
              <w:t xml:space="preserve">With excess weight </w:t>
            </w:r>
            <w:r w:rsidRPr="00BE5380">
              <w:rPr>
                <w:rFonts w:cs="Arial"/>
                <w:sz w:val="20"/>
                <w:szCs w:val="20"/>
              </w:rPr>
              <w:t xml:space="preserve">(at prevalence of </w:t>
            </w:r>
            <w:r w:rsidR="00801B20" w:rsidRPr="00BE5380">
              <w:rPr>
                <w:rFonts w:cs="Arial"/>
                <w:sz w:val="20"/>
                <w:szCs w:val="20"/>
              </w:rPr>
              <w:t>63.9</w:t>
            </w:r>
            <w:r w:rsidRPr="00BE5380">
              <w:rPr>
                <w:rFonts w:cs="Arial"/>
                <w:sz w:val="20"/>
                <w:szCs w:val="20"/>
              </w:rPr>
              <w:t>%)</w:t>
            </w:r>
          </w:p>
        </w:tc>
        <w:tc>
          <w:tcPr>
            <w:tcW w:w="2290" w:type="dxa"/>
            <w:vAlign w:val="center"/>
          </w:tcPr>
          <w:p w14:paraId="71C9277F" w14:textId="77777777" w:rsidR="005B50EF" w:rsidRDefault="00481CDC" w:rsidP="00170697">
            <w:pPr>
              <w:pStyle w:val="NoSpacing"/>
              <w:jc w:val="center"/>
              <w:rPr>
                <w:rFonts w:cs="Arial"/>
                <w:b/>
                <w:bCs/>
                <w:sz w:val="20"/>
                <w:szCs w:val="20"/>
              </w:rPr>
            </w:pPr>
            <w:r>
              <w:rPr>
                <w:rFonts w:cs="Arial"/>
                <w:b/>
                <w:bCs/>
                <w:sz w:val="20"/>
                <w:szCs w:val="20"/>
              </w:rPr>
              <w:t>Physically</w:t>
            </w:r>
            <w:r w:rsidR="005B50EF">
              <w:rPr>
                <w:rFonts w:cs="Arial"/>
                <w:b/>
                <w:bCs/>
                <w:sz w:val="20"/>
                <w:szCs w:val="20"/>
              </w:rPr>
              <w:t xml:space="preserve"> inactive</w:t>
            </w:r>
          </w:p>
          <w:p w14:paraId="0A990D77" w14:textId="7729EBBA" w:rsidR="00801B20" w:rsidRPr="00BE5380" w:rsidRDefault="00801B20" w:rsidP="00170697">
            <w:pPr>
              <w:pStyle w:val="NoSpacing"/>
              <w:jc w:val="center"/>
              <w:rPr>
                <w:rFonts w:cs="Arial"/>
                <w:sz w:val="20"/>
                <w:szCs w:val="20"/>
              </w:rPr>
            </w:pPr>
            <w:r w:rsidRPr="00BE5380">
              <w:rPr>
                <w:rFonts w:cs="Arial"/>
                <w:sz w:val="20"/>
                <w:szCs w:val="20"/>
              </w:rPr>
              <w:t>(at prevalence of 21.4%)</w:t>
            </w:r>
          </w:p>
        </w:tc>
      </w:tr>
      <w:tr w:rsidR="00054B4E" w14:paraId="19F62020" w14:textId="77777777" w:rsidTr="00801B20">
        <w:tc>
          <w:tcPr>
            <w:tcW w:w="2694" w:type="dxa"/>
          </w:tcPr>
          <w:p w14:paraId="5F014550" w14:textId="77777777" w:rsidR="00054B4E" w:rsidRPr="004A46C8" w:rsidRDefault="00054B4E" w:rsidP="00054B4E">
            <w:pPr>
              <w:pStyle w:val="NoSpacing"/>
              <w:rPr>
                <w:rFonts w:cs="Arial"/>
                <w:b/>
                <w:bCs/>
                <w:sz w:val="20"/>
                <w:szCs w:val="20"/>
              </w:rPr>
            </w:pPr>
            <w:r w:rsidRPr="004A46C8">
              <w:rPr>
                <w:rFonts w:cs="Arial"/>
                <w:b/>
                <w:bCs/>
                <w:sz w:val="20"/>
                <w:szCs w:val="20"/>
              </w:rPr>
              <w:t>Maidenhead Town Centre</w:t>
            </w:r>
          </w:p>
        </w:tc>
        <w:tc>
          <w:tcPr>
            <w:tcW w:w="2508" w:type="dxa"/>
            <w:vAlign w:val="bottom"/>
          </w:tcPr>
          <w:p w14:paraId="4ECD0486" w14:textId="0B348117" w:rsidR="00054B4E" w:rsidRPr="004A46C8" w:rsidRDefault="00054B4E" w:rsidP="00054B4E">
            <w:pPr>
              <w:pStyle w:val="NoSpacing"/>
              <w:jc w:val="center"/>
              <w:rPr>
                <w:rFonts w:cs="Arial"/>
                <w:b/>
                <w:bCs/>
                <w:sz w:val="20"/>
                <w:szCs w:val="20"/>
              </w:rPr>
            </w:pPr>
            <w:r>
              <w:rPr>
                <w:rFonts w:cs="Arial"/>
                <w:color w:val="000000"/>
                <w:sz w:val="20"/>
                <w:szCs w:val="20"/>
              </w:rPr>
              <w:t>4,113</w:t>
            </w:r>
          </w:p>
        </w:tc>
        <w:tc>
          <w:tcPr>
            <w:tcW w:w="2289" w:type="dxa"/>
            <w:vAlign w:val="bottom"/>
          </w:tcPr>
          <w:p w14:paraId="2A336930" w14:textId="5E33B692" w:rsidR="00054B4E" w:rsidRPr="004A46C8" w:rsidRDefault="00054B4E" w:rsidP="00054B4E">
            <w:pPr>
              <w:pStyle w:val="NoSpacing"/>
              <w:jc w:val="center"/>
              <w:rPr>
                <w:rFonts w:cs="Arial"/>
                <w:b/>
                <w:bCs/>
                <w:sz w:val="20"/>
                <w:szCs w:val="20"/>
              </w:rPr>
            </w:pPr>
            <w:r>
              <w:rPr>
                <w:rFonts w:cs="Arial"/>
                <w:color w:val="000000"/>
                <w:sz w:val="20"/>
                <w:szCs w:val="20"/>
              </w:rPr>
              <w:t>25,517</w:t>
            </w:r>
          </w:p>
        </w:tc>
        <w:tc>
          <w:tcPr>
            <w:tcW w:w="2290" w:type="dxa"/>
            <w:vAlign w:val="bottom"/>
          </w:tcPr>
          <w:p w14:paraId="11572E7B" w14:textId="799BEB73" w:rsidR="00054B4E" w:rsidRPr="004A46C8" w:rsidRDefault="00054B4E" w:rsidP="00054B4E">
            <w:pPr>
              <w:pStyle w:val="NoSpacing"/>
              <w:jc w:val="center"/>
              <w:rPr>
                <w:rFonts w:cs="Arial"/>
                <w:b/>
                <w:bCs/>
                <w:sz w:val="20"/>
                <w:szCs w:val="20"/>
              </w:rPr>
            </w:pPr>
            <w:r>
              <w:rPr>
                <w:rFonts w:cs="Arial"/>
                <w:color w:val="000000"/>
                <w:sz w:val="20"/>
                <w:szCs w:val="20"/>
              </w:rPr>
              <w:t>8,546</w:t>
            </w:r>
          </w:p>
        </w:tc>
      </w:tr>
      <w:tr w:rsidR="00054B4E" w14:paraId="2F608FF8" w14:textId="77777777" w:rsidTr="00801B20">
        <w:tc>
          <w:tcPr>
            <w:tcW w:w="2694" w:type="dxa"/>
          </w:tcPr>
          <w:p w14:paraId="123B18CF" w14:textId="77777777" w:rsidR="00054B4E" w:rsidRPr="004A46C8" w:rsidRDefault="00054B4E" w:rsidP="00054B4E">
            <w:pPr>
              <w:pStyle w:val="NoSpacing"/>
              <w:rPr>
                <w:rFonts w:cs="Arial"/>
                <w:b/>
                <w:bCs/>
                <w:sz w:val="20"/>
                <w:szCs w:val="20"/>
              </w:rPr>
            </w:pPr>
            <w:r w:rsidRPr="004A46C8">
              <w:rPr>
                <w:rFonts w:cs="Arial"/>
                <w:b/>
                <w:bCs/>
                <w:sz w:val="20"/>
                <w:szCs w:val="20"/>
              </w:rPr>
              <w:t>Maidenhead</w:t>
            </w:r>
          </w:p>
        </w:tc>
        <w:tc>
          <w:tcPr>
            <w:tcW w:w="2508" w:type="dxa"/>
            <w:vAlign w:val="bottom"/>
          </w:tcPr>
          <w:p w14:paraId="003384FC" w14:textId="21F90E55" w:rsidR="00054B4E" w:rsidRPr="004A46C8" w:rsidRDefault="00054B4E" w:rsidP="00054B4E">
            <w:pPr>
              <w:pStyle w:val="NoSpacing"/>
              <w:jc w:val="center"/>
              <w:rPr>
                <w:rFonts w:cs="Arial"/>
                <w:b/>
                <w:bCs/>
                <w:sz w:val="20"/>
                <w:szCs w:val="20"/>
              </w:rPr>
            </w:pPr>
            <w:r>
              <w:rPr>
                <w:rFonts w:cs="Arial"/>
                <w:color w:val="000000"/>
                <w:sz w:val="20"/>
                <w:szCs w:val="20"/>
              </w:rPr>
              <w:t>6,365</w:t>
            </w:r>
          </w:p>
        </w:tc>
        <w:tc>
          <w:tcPr>
            <w:tcW w:w="2289" w:type="dxa"/>
            <w:vAlign w:val="bottom"/>
          </w:tcPr>
          <w:p w14:paraId="53816B79" w14:textId="0E87E895" w:rsidR="00054B4E" w:rsidRPr="004A46C8" w:rsidRDefault="00054B4E" w:rsidP="00054B4E">
            <w:pPr>
              <w:pStyle w:val="NoSpacing"/>
              <w:jc w:val="center"/>
              <w:rPr>
                <w:rFonts w:cs="Arial"/>
                <w:b/>
                <w:bCs/>
                <w:sz w:val="20"/>
                <w:szCs w:val="20"/>
              </w:rPr>
            </w:pPr>
            <w:r>
              <w:rPr>
                <w:rFonts w:cs="Arial"/>
                <w:color w:val="000000"/>
                <w:sz w:val="20"/>
                <w:szCs w:val="20"/>
              </w:rPr>
              <w:t>39,487</w:t>
            </w:r>
          </w:p>
        </w:tc>
        <w:tc>
          <w:tcPr>
            <w:tcW w:w="2290" w:type="dxa"/>
            <w:vAlign w:val="bottom"/>
          </w:tcPr>
          <w:p w14:paraId="2704D614" w14:textId="60A08C7F" w:rsidR="00054B4E" w:rsidRPr="004A46C8" w:rsidRDefault="00054B4E" w:rsidP="00054B4E">
            <w:pPr>
              <w:pStyle w:val="NoSpacing"/>
              <w:jc w:val="center"/>
              <w:rPr>
                <w:rFonts w:cs="Arial"/>
                <w:b/>
                <w:bCs/>
                <w:sz w:val="20"/>
                <w:szCs w:val="20"/>
              </w:rPr>
            </w:pPr>
            <w:r>
              <w:rPr>
                <w:rFonts w:cs="Arial"/>
                <w:color w:val="000000"/>
                <w:sz w:val="20"/>
                <w:szCs w:val="20"/>
              </w:rPr>
              <w:t>13,224</w:t>
            </w:r>
          </w:p>
        </w:tc>
      </w:tr>
    </w:tbl>
    <w:p w14:paraId="73A39319" w14:textId="77777777" w:rsidR="00170697" w:rsidRPr="00170697" w:rsidRDefault="00170697" w:rsidP="004C75AA">
      <w:pPr>
        <w:pStyle w:val="NoSpacing"/>
        <w:rPr>
          <w:rFonts w:cs="Arial"/>
          <w:i/>
          <w:iCs/>
          <w:sz w:val="8"/>
          <w:szCs w:val="8"/>
        </w:rPr>
      </w:pPr>
    </w:p>
    <w:p w14:paraId="15F96695" w14:textId="3C03AA28" w:rsidR="004C75AA" w:rsidRPr="00670776" w:rsidRDefault="004C75AA" w:rsidP="004C75AA">
      <w:pPr>
        <w:pStyle w:val="NoSpacing"/>
        <w:rPr>
          <w:rFonts w:cs="Arial"/>
          <w:i/>
          <w:iCs/>
          <w:sz w:val="20"/>
          <w:szCs w:val="20"/>
        </w:rPr>
      </w:pPr>
      <w:r w:rsidRPr="00670776">
        <w:rPr>
          <w:rFonts w:cs="Arial"/>
          <w:i/>
          <w:iCs/>
          <w:sz w:val="20"/>
          <w:szCs w:val="20"/>
        </w:rPr>
        <w:t>Source:</w:t>
      </w:r>
      <w:r w:rsidR="007D6D7E">
        <w:rPr>
          <w:rFonts w:cs="Arial"/>
          <w:i/>
          <w:iCs/>
          <w:sz w:val="20"/>
          <w:szCs w:val="20"/>
        </w:rPr>
        <w:t xml:space="preserve"> Prevalence data taken from </w:t>
      </w:r>
      <w:r w:rsidR="007D6D7E" w:rsidRPr="007D6D7E">
        <w:rPr>
          <w:rFonts w:cs="Arial"/>
          <w:i/>
          <w:iCs/>
          <w:sz w:val="20"/>
          <w:szCs w:val="20"/>
        </w:rPr>
        <w:t>Office for Health Improvement &amp; Disparities</w:t>
      </w:r>
      <w:r w:rsidR="007D6D7E">
        <w:rPr>
          <w:rFonts w:cs="Arial"/>
          <w:i/>
          <w:iCs/>
          <w:sz w:val="20"/>
          <w:szCs w:val="20"/>
        </w:rPr>
        <w:t xml:space="preserve"> </w:t>
      </w:r>
      <w:hyperlink r:id="rId33" w:history="1">
        <w:r w:rsidR="00170697" w:rsidRPr="00170697">
          <w:rPr>
            <w:rStyle w:val="Hyperlink"/>
            <w:rFonts w:cs="Arial"/>
            <w:i/>
            <w:iCs/>
            <w:sz w:val="20"/>
            <w:szCs w:val="20"/>
          </w:rPr>
          <w:t>Public Health Outcomes Framework</w:t>
        </w:r>
      </w:hyperlink>
      <w:r w:rsidR="00170697">
        <w:rPr>
          <w:rFonts w:cs="Arial"/>
          <w:i/>
          <w:iCs/>
          <w:sz w:val="20"/>
          <w:szCs w:val="20"/>
        </w:rPr>
        <w:t xml:space="preserve">. </w:t>
      </w:r>
      <w:r w:rsidRPr="00670776">
        <w:rPr>
          <w:rFonts w:cs="Arial"/>
          <w:i/>
          <w:iCs/>
          <w:sz w:val="20"/>
          <w:szCs w:val="20"/>
        </w:rPr>
        <w:t xml:space="preserve"> </w:t>
      </w:r>
      <w:r>
        <w:rPr>
          <w:rFonts w:cs="Arial"/>
          <w:i/>
          <w:iCs/>
          <w:sz w:val="20"/>
          <w:szCs w:val="20"/>
        </w:rPr>
        <w:t xml:space="preserve">Population estimates - ONS (2021); </w:t>
      </w:r>
      <w:hyperlink r:id="rId34" w:history="1">
        <w:r w:rsidRPr="00110CD5">
          <w:rPr>
            <w:rStyle w:val="Hyperlink"/>
            <w:rFonts w:cs="Arial"/>
            <w:i/>
            <w:iCs/>
            <w:sz w:val="20"/>
            <w:szCs w:val="20"/>
          </w:rPr>
          <w:t>LSOA population estimates</w:t>
        </w:r>
      </w:hyperlink>
    </w:p>
    <w:p w14:paraId="516945A9" w14:textId="4EA23744" w:rsidR="00F46F2A" w:rsidRPr="00861100" w:rsidRDefault="00F46F2A" w:rsidP="0087212E">
      <w:pPr>
        <w:pStyle w:val="NoSpacing"/>
        <w:rPr>
          <w:rFonts w:cs="Arial"/>
          <w:b/>
          <w:bCs/>
          <w:i/>
          <w:iCs/>
          <w:color w:val="4F81BD" w:themeColor="accent1"/>
          <w:sz w:val="16"/>
          <w:szCs w:val="16"/>
        </w:rPr>
      </w:pPr>
    </w:p>
    <w:p w14:paraId="402F017F" w14:textId="10DFA79C" w:rsidR="00F46F2A" w:rsidRDefault="00F46F2A" w:rsidP="0087212E">
      <w:pPr>
        <w:pStyle w:val="NoSpacing"/>
        <w:rPr>
          <w:rFonts w:cs="Arial"/>
          <w:sz w:val="16"/>
          <w:szCs w:val="16"/>
        </w:rPr>
      </w:pPr>
    </w:p>
    <w:p w14:paraId="6F2DC00B" w14:textId="77777777" w:rsidR="00D34277" w:rsidRPr="00861100" w:rsidRDefault="00D34277" w:rsidP="0087212E">
      <w:pPr>
        <w:pStyle w:val="NoSpacing"/>
        <w:rPr>
          <w:rFonts w:cs="Arial"/>
          <w:sz w:val="16"/>
          <w:szCs w:val="16"/>
        </w:rPr>
      </w:pPr>
    </w:p>
    <w:p w14:paraId="147FE122" w14:textId="057EA37B" w:rsidR="00EE07A4" w:rsidRPr="00861100" w:rsidRDefault="00EE07A4" w:rsidP="00EE07A4">
      <w:pPr>
        <w:pStyle w:val="NoSpacing"/>
        <w:rPr>
          <w:rFonts w:cs="Arial"/>
          <w:b/>
          <w:bCs/>
          <w:color w:val="4F81BD" w:themeColor="accent1"/>
          <w:sz w:val="24"/>
          <w:szCs w:val="24"/>
          <w:u w:val="single"/>
        </w:rPr>
      </w:pPr>
      <w:r w:rsidRPr="00861100">
        <w:rPr>
          <w:rFonts w:cs="Arial"/>
          <w:b/>
          <w:bCs/>
          <w:color w:val="4F81BD" w:themeColor="accent1"/>
          <w:sz w:val="24"/>
          <w:szCs w:val="24"/>
          <w:u w:val="single"/>
        </w:rPr>
        <w:t xml:space="preserve">Health outcomes </w:t>
      </w:r>
    </w:p>
    <w:p w14:paraId="508CB952" w14:textId="1BD4FD5E" w:rsidR="008F5BC3" w:rsidRDefault="008F5BC3" w:rsidP="00EE07A4">
      <w:pPr>
        <w:pStyle w:val="NoSpacing"/>
        <w:rPr>
          <w:rFonts w:cs="Arial"/>
          <w:b/>
          <w:bCs/>
          <w:color w:val="4F81BD" w:themeColor="accent1"/>
          <w:sz w:val="24"/>
          <w:szCs w:val="24"/>
        </w:rPr>
      </w:pPr>
    </w:p>
    <w:p w14:paraId="5508C7AE" w14:textId="753081FA" w:rsidR="00596FA4" w:rsidRDefault="00596FA4" w:rsidP="00EE07A4">
      <w:pPr>
        <w:pStyle w:val="NoSpacing"/>
        <w:rPr>
          <w:rFonts w:cs="Arial"/>
          <w:b/>
          <w:bCs/>
          <w:color w:val="4F81BD" w:themeColor="accent1"/>
          <w:sz w:val="24"/>
          <w:szCs w:val="24"/>
        </w:rPr>
      </w:pPr>
      <w:r>
        <w:rPr>
          <w:rFonts w:cs="Arial"/>
          <w:b/>
          <w:bCs/>
          <w:i/>
          <w:iCs/>
          <w:color w:val="4F81BD" w:themeColor="accent1"/>
        </w:rPr>
        <w:t>Life expectancy</w:t>
      </w:r>
      <w:r w:rsidR="00140E19">
        <w:rPr>
          <w:rFonts w:cs="Arial"/>
          <w:b/>
          <w:bCs/>
          <w:i/>
          <w:iCs/>
          <w:color w:val="4F81BD" w:themeColor="accent1"/>
        </w:rPr>
        <w:t xml:space="preserve"> and premature mortality</w:t>
      </w:r>
    </w:p>
    <w:p w14:paraId="1B8C82A6" w14:textId="3EA7BF65" w:rsidR="00772BBE" w:rsidRDefault="00F5483D" w:rsidP="00EE07A4">
      <w:pPr>
        <w:pStyle w:val="NoSpacing"/>
        <w:rPr>
          <w:rFonts w:cs="Arial"/>
        </w:rPr>
      </w:pPr>
      <w:r>
        <w:rPr>
          <w:rFonts w:cs="Arial"/>
        </w:rPr>
        <w:t>RBWM’s life expectancy for males and females is significantly better than the national average. Maidenhead Town Centre and Maidenhead’s</w:t>
      </w:r>
      <w:r w:rsidR="0014452A">
        <w:rPr>
          <w:rFonts w:cs="Arial"/>
        </w:rPr>
        <w:t xml:space="preserve"> life expectancy </w:t>
      </w:r>
      <w:r w:rsidR="00F06845">
        <w:rPr>
          <w:rFonts w:cs="Arial"/>
        </w:rPr>
        <w:t xml:space="preserve">at birth (2018-20) were </w:t>
      </w:r>
      <w:r w:rsidR="0014452A">
        <w:rPr>
          <w:rFonts w:cs="Arial"/>
        </w:rPr>
        <w:t>similar to RBWM</w:t>
      </w:r>
      <w:r w:rsidR="00C634CE">
        <w:rPr>
          <w:rFonts w:cs="Arial"/>
        </w:rPr>
        <w:t>’s</w:t>
      </w:r>
      <w:r w:rsidR="000A5D43">
        <w:rPr>
          <w:rFonts w:cs="Arial"/>
        </w:rPr>
        <w:t xml:space="preserve"> at 81.6 years for males and 85.2 years for females (</w:t>
      </w:r>
      <w:r w:rsidR="00C634CE">
        <w:rPr>
          <w:rFonts w:cs="Arial"/>
        </w:rPr>
        <w:t>NHS Digital Primary Care Mortality Dataset</w:t>
      </w:r>
      <w:r w:rsidR="00F06845">
        <w:rPr>
          <w:rFonts w:cs="Arial"/>
        </w:rPr>
        <w:t>)</w:t>
      </w:r>
      <w:r w:rsidR="00596FA4">
        <w:rPr>
          <w:rFonts w:cs="Arial"/>
        </w:rPr>
        <w:t>.</w:t>
      </w:r>
    </w:p>
    <w:p w14:paraId="446662D4" w14:textId="26EA3064" w:rsidR="00140E19" w:rsidRDefault="00140E19" w:rsidP="00EE07A4">
      <w:pPr>
        <w:pStyle w:val="NoSpacing"/>
        <w:rPr>
          <w:rFonts w:cs="Arial"/>
        </w:rPr>
      </w:pPr>
    </w:p>
    <w:p w14:paraId="5505222D" w14:textId="77777777" w:rsidR="00140E19" w:rsidRDefault="00140E19" w:rsidP="00140E19">
      <w:pPr>
        <w:pStyle w:val="NoSpacing"/>
        <w:rPr>
          <w:rFonts w:cs="Arial"/>
        </w:rPr>
      </w:pPr>
      <w:r>
        <w:rPr>
          <w:rFonts w:cs="Arial"/>
        </w:rPr>
        <w:t>Maidenhead Town Centre and the Maidenhead area both have similar premature mortality rates to the whole of RBWM. From 2018-20, 340 residents of Maidenhead Town Centre died aged under 75 at a rate of 272 per 100,000 population. This compared to 520 residents of Maidenhead at a rate of 278 per 100,000 population (NHS Digital 2022, Primary Care Mortality Dataset). The main cause of premature death was cancer, followed by cardiovascular disease.</w:t>
      </w:r>
    </w:p>
    <w:p w14:paraId="40FD08F7" w14:textId="77777777" w:rsidR="00140E19" w:rsidRDefault="00140E19" w:rsidP="00140E19">
      <w:pPr>
        <w:pStyle w:val="NoSpacing"/>
        <w:rPr>
          <w:rFonts w:cs="Arial"/>
          <w:b/>
          <w:bCs/>
          <w:sz w:val="20"/>
          <w:szCs w:val="20"/>
        </w:rPr>
      </w:pPr>
    </w:p>
    <w:p w14:paraId="464DD142" w14:textId="21B6BAE5" w:rsidR="00140E19" w:rsidRDefault="00140E19" w:rsidP="00140E19">
      <w:pPr>
        <w:pStyle w:val="NoSpacing"/>
        <w:rPr>
          <w:rFonts w:cs="Arial"/>
          <w:b/>
          <w:bCs/>
          <w:sz w:val="20"/>
          <w:szCs w:val="20"/>
        </w:rPr>
      </w:pPr>
      <w:r>
        <w:rPr>
          <w:rFonts w:cs="Arial"/>
          <w:b/>
          <w:bCs/>
          <w:noProof/>
          <w:color w:val="4F81BD" w:themeColor="accent1"/>
          <w:sz w:val="24"/>
          <w:szCs w:val="24"/>
        </w:rPr>
        <w:drawing>
          <wp:anchor distT="0" distB="0" distL="114300" distR="114300" simplePos="0" relativeHeight="251667456" behindDoc="1" locked="0" layoutInCell="1" allowOverlap="1" wp14:anchorId="349764B0" wp14:editId="2EFE8D54">
            <wp:simplePos x="0" y="0"/>
            <wp:positionH relativeFrom="column">
              <wp:posOffset>-68580</wp:posOffset>
            </wp:positionH>
            <wp:positionV relativeFrom="paragraph">
              <wp:posOffset>149860</wp:posOffset>
            </wp:positionV>
            <wp:extent cx="5542280" cy="1400175"/>
            <wp:effectExtent l="0" t="0" r="1270" b="9525"/>
            <wp:wrapTight wrapText="bothSides">
              <wp:wrapPolygon edited="0">
                <wp:start x="0" y="0"/>
                <wp:lineTo x="0" y="21453"/>
                <wp:lineTo x="21531" y="21453"/>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b="7187"/>
                    <a:stretch/>
                  </pic:blipFill>
                  <pic:spPr bwMode="auto">
                    <a:xfrm>
                      <a:off x="0" y="0"/>
                      <a:ext cx="5542280" cy="1400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7774">
        <w:rPr>
          <w:rFonts w:cs="Arial"/>
          <w:b/>
          <w:bCs/>
          <w:sz w:val="20"/>
          <w:szCs w:val="20"/>
        </w:rPr>
        <w:t xml:space="preserve">Figure </w:t>
      </w:r>
      <w:r w:rsidR="00781954">
        <w:rPr>
          <w:rFonts w:cs="Arial"/>
          <w:b/>
          <w:bCs/>
          <w:sz w:val="20"/>
          <w:szCs w:val="20"/>
        </w:rPr>
        <w:t>7</w:t>
      </w:r>
      <w:r w:rsidRPr="00567774">
        <w:rPr>
          <w:rFonts w:cs="Arial"/>
          <w:b/>
          <w:bCs/>
          <w:sz w:val="20"/>
          <w:szCs w:val="20"/>
        </w:rPr>
        <w:t xml:space="preserve">: </w:t>
      </w:r>
      <w:r>
        <w:rPr>
          <w:rFonts w:cs="Arial"/>
          <w:b/>
          <w:bCs/>
          <w:sz w:val="20"/>
          <w:szCs w:val="20"/>
        </w:rPr>
        <w:t>Proportion of premature deaths (people aged under 75) by underlying cause (2018-20)</w:t>
      </w:r>
    </w:p>
    <w:p w14:paraId="3261AF8A" w14:textId="77777777" w:rsidR="00140E19" w:rsidRDefault="00140E19" w:rsidP="00140E19">
      <w:pPr>
        <w:pStyle w:val="NoSpacing"/>
        <w:rPr>
          <w:rFonts w:cs="Arial"/>
          <w:b/>
          <w:bCs/>
          <w:sz w:val="20"/>
          <w:szCs w:val="20"/>
        </w:rPr>
      </w:pPr>
    </w:p>
    <w:p w14:paraId="6897FD73" w14:textId="77777777" w:rsidR="00140E19" w:rsidRDefault="00140E19" w:rsidP="00140E19">
      <w:pPr>
        <w:pStyle w:val="NoSpacing"/>
        <w:rPr>
          <w:rFonts w:cs="Arial"/>
          <w:b/>
          <w:bCs/>
          <w:color w:val="4F81BD" w:themeColor="accent1"/>
          <w:sz w:val="24"/>
          <w:szCs w:val="24"/>
        </w:rPr>
      </w:pPr>
    </w:p>
    <w:p w14:paraId="29E30716" w14:textId="77777777" w:rsidR="00140E19" w:rsidRDefault="00140E19" w:rsidP="00140E19">
      <w:pPr>
        <w:pStyle w:val="NoSpacing"/>
        <w:rPr>
          <w:rFonts w:cs="Arial"/>
          <w:b/>
          <w:bCs/>
          <w:color w:val="4F81BD" w:themeColor="accent1"/>
          <w:sz w:val="24"/>
          <w:szCs w:val="24"/>
        </w:rPr>
      </w:pPr>
    </w:p>
    <w:p w14:paraId="05939676" w14:textId="77777777" w:rsidR="00140E19" w:rsidRDefault="00140E19" w:rsidP="00140E19">
      <w:pPr>
        <w:pStyle w:val="NoSpacing"/>
        <w:rPr>
          <w:rFonts w:cs="Arial"/>
          <w:b/>
          <w:bCs/>
          <w:color w:val="4F81BD" w:themeColor="accent1"/>
          <w:sz w:val="24"/>
          <w:szCs w:val="24"/>
        </w:rPr>
      </w:pPr>
    </w:p>
    <w:p w14:paraId="09FFDA94" w14:textId="77777777" w:rsidR="00140E19" w:rsidRDefault="00140E19" w:rsidP="00140E19">
      <w:pPr>
        <w:pStyle w:val="NoSpacing"/>
        <w:rPr>
          <w:rFonts w:cs="Arial"/>
          <w:b/>
          <w:bCs/>
          <w:color w:val="4F81BD" w:themeColor="accent1"/>
          <w:sz w:val="24"/>
          <w:szCs w:val="24"/>
        </w:rPr>
      </w:pPr>
    </w:p>
    <w:p w14:paraId="37710B99" w14:textId="77777777" w:rsidR="00140E19" w:rsidRDefault="00140E19" w:rsidP="00140E19">
      <w:pPr>
        <w:pStyle w:val="NoSpacing"/>
        <w:rPr>
          <w:rFonts w:cs="Arial"/>
          <w:b/>
          <w:bCs/>
          <w:color w:val="4F81BD" w:themeColor="accent1"/>
          <w:sz w:val="24"/>
          <w:szCs w:val="24"/>
        </w:rPr>
      </w:pPr>
    </w:p>
    <w:p w14:paraId="06D6D064" w14:textId="77777777" w:rsidR="00140E19" w:rsidRDefault="00140E19" w:rsidP="00140E19">
      <w:pPr>
        <w:pStyle w:val="NoSpacing"/>
        <w:rPr>
          <w:rFonts w:cs="Arial"/>
          <w:i/>
          <w:iCs/>
          <w:sz w:val="20"/>
          <w:szCs w:val="20"/>
        </w:rPr>
      </w:pPr>
    </w:p>
    <w:p w14:paraId="7A053DB4" w14:textId="77777777" w:rsidR="00140E19" w:rsidRDefault="00140E19" w:rsidP="00140E19">
      <w:pPr>
        <w:pStyle w:val="NoSpacing"/>
        <w:rPr>
          <w:rFonts w:cs="Arial"/>
          <w:i/>
          <w:iCs/>
          <w:sz w:val="20"/>
          <w:szCs w:val="20"/>
        </w:rPr>
      </w:pPr>
    </w:p>
    <w:p w14:paraId="361D1721" w14:textId="77777777" w:rsidR="00140E19" w:rsidRPr="006D7CD0" w:rsidRDefault="00140E19" w:rsidP="00140E19">
      <w:pPr>
        <w:pStyle w:val="NoSpacing"/>
        <w:rPr>
          <w:rFonts w:cs="Arial"/>
          <w:b/>
          <w:bCs/>
          <w:i/>
          <w:iCs/>
          <w:sz w:val="20"/>
          <w:szCs w:val="20"/>
        </w:rPr>
      </w:pPr>
    </w:p>
    <w:p w14:paraId="150D26D5" w14:textId="77777777" w:rsidR="00140E19" w:rsidRPr="00670776" w:rsidRDefault="00140E19" w:rsidP="00140E19">
      <w:pPr>
        <w:pStyle w:val="NoSpacing"/>
        <w:rPr>
          <w:rFonts w:cs="Arial"/>
          <w:i/>
          <w:iCs/>
          <w:sz w:val="20"/>
          <w:szCs w:val="20"/>
        </w:rPr>
      </w:pPr>
      <w:r w:rsidRPr="00670776">
        <w:rPr>
          <w:rFonts w:cs="Arial"/>
          <w:i/>
          <w:iCs/>
          <w:sz w:val="20"/>
          <w:szCs w:val="20"/>
        </w:rPr>
        <w:t>Source:</w:t>
      </w:r>
      <w:r>
        <w:rPr>
          <w:rFonts w:cs="Arial"/>
          <w:i/>
          <w:iCs/>
          <w:sz w:val="20"/>
          <w:szCs w:val="20"/>
        </w:rPr>
        <w:t xml:space="preserve"> NHS Digital (2022) Primary Care Mortality Dataset</w:t>
      </w:r>
    </w:p>
    <w:p w14:paraId="53AC7D5B" w14:textId="531100E8" w:rsidR="006D237E" w:rsidRPr="00CD5F5A" w:rsidRDefault="007768E1" w:rsidP="00EE07A4">
      <w:pPr>
        <w:pStyle w:val="NoSpacing"/>
        <w:rPr>
          <w:rFonts w:cs="Arial"/>
          <w:b/>
          <w:bCs/>
          <w:color w:val="4F81BD" w:themeColor="accent1"/>
        </w:rPr>
      </w:pPr>
      <w:r>
        <w:rPr>
          <w:rFonts w:cs="Arial"/>
          <w:b/>
          <w:bCs/>
          <w:i/>
          <w:iCs/>
          <w:color w:val="4F81BD" w:themeColor="accent1"/>
        </w:rPr>
        <w:lastRenderedPageBreak/>
        <w:t>Prevalence of long-term conditions and disease</w:t>
      </w:r>
    </w:p>
    <w:p w14:paraId="2F5800F4" w14:textId="19E6A340" w:rsidR="006D237E" w:rsidRDefault="00B44986" w:rsidP="00EE07A4">
      <w:pPr>
        <w:pStyle w:val="NoSpacing"/>
        <w:rPr>
          <w:rFonts w:cs="Arial"/>
        </w:rPr>
      </w:pPr>
      <w:r w:rsidRPr="00CD5F5A">
        <w:rPr>
          <w:rFonts w:cs="Arial"/>
        </w:rPr>
        <w:t>The</w:t>
      </w:r>
      <w:r w:rsidR="005B04D5" w:rsidRPr="00CD5F5A">
        <w:rPr>
          <w:rFonts w:cs="Arial"/>
        </w:rPr>
        <w:t xml:space="preserve"> recorded</w:t>
      </w:r>
      <w:r w:rsidRPr="00CD5F5A">
        <w:rPr>
          <w:rFonts w:cs="Arial"/>
        </w:rPr>
        <w:t xml:space="preserve"> prevalence </w:t>
      </w:r>
      <w:r w:rsidR="006E01DD" w:rsidRPr="00CD5F5A">
        <w:rPr>
          <w:rFonts w:cs="Arial"/>
        </w:rPr>
        <w:t xml:space="preserve">rates </w:t>
      </w:r>
      <w:r w:rsidRPr="00CD5F5A">
        <w:rPr>
          <w:rFonts w:cs="Arial"/>
        </w:rPr>
        <w:t xml:space="preserve">of </w:t>
      </w:r>
      <w:r w:rsidR="001340A2" w:rsidRPr="00CD5F5A">
        <w:rPr>
          <w:rFonts w:cs="Arial"/>
        </w:rPr>
        <w:t xml:space="preserve">different </w:t>
      </w:r>
      <w:r w:rsidRPr="00CD5F5A">
        <w:rPr>
          <w:rFonts w:cs="Arial"/>
        </w:rPr>
        <w:t xml:space="preserve">long-term conditions and diseases </w:t>
      </w:r>
      <w:r w:rsidR="006E01DD" w:rsidRPr="00CD5F5A">
        <w:rPr>
          <w:rFonts w:cs="Arial"/>
        </w:rPr>
        <w:t>are</w:t>
      </w:r>
      <w:r w:rsidRPr="00CD5F5A">
        <w:rPr>
          <w:rFonts w:cs="Arial"/>
        </w:rPr>
        <w:t xml:space="preserve"> simil</w:t>
      </w:r>
      <w:r w:rsidR="001340A2" w:rsidRPr="00CD5F5A">
        <w:rPr>
          <w:rFonts w:cs="Arial"/>
        </w:rPr>
        <w:t xml:space="preserve">ar across Maidenhead Town Centre and the wider Maidenhead area. </w:t>
      </w:r>
      <w:r w:rsidR="00A70EA4">
        <w:rPr>
          <w:rFonts w:cs="Arial"/>
        </w:rPr>
        <w:t xml:space="preserve">Figure </w:t>
      </w:r>
      <w:r w:rsidR="0018072D">
        <w:rPr>
          <w:rFonts w:cs="Arial"/>
        </w:rPr>
        <w:t>8</w:t>
      </w:r>
      <w:r w:rsidR="00A70EA4">
        <w:rPr>
          <w:rFonts w:cs="Arial"/>
        </w:rPr>
        <w:t xml:space="preserve"> shows </w:t>
      </w:r>
      <w:r w:rsidR="005C6CCF">
        <w:rPr>
          <w:rFonts w:cs="Arial"/>
        </w:rPr>
        <w:t xml:space="preserve">how </w:t>
      </w:r>
      <w:r w:rsidR="00A70EA4">
        <w:rPr>
          <w:rFonts w:cs="Arial"/>
        </w:rPr>
        <w:t xml:space="preserve">these </w:t>
      </w:r>
      <w:r w:rsidR="005C6CCF">
        <w:rPr>
          <w:rFonts w:cs="Arial"/>
        </w:rPr>
        <w:t xml:space="preserve">compare </w:t>
      </w:r>
      <w:r w:rsidR="00A70EA4">
        <w:rPr>
          <w:rFonts w:cs="Arial"/>
        </w:rPr>
        <w:t>to the whole of RBWM and the Frimley</w:t>
      </w:r>
      <w:r w:rsidR="0041425A">
        <w:rPr>
          <w:rFonts w:cs="Arial"/>
        </w:rPr>
        <w:t xml:space="preserve"> ICS</w:t>
      </w:r>
      <w:r w:rsidR="00A70EA4">
        <w:rPr>
          <w:rFonts w:cs="Arial"/>
        </w:rPr>
        <w:t xml:space="preserve"> footprint.</w:t>
      </w:r>
      <w:r w:rsidR="001340A2" w:rsidRPr="00CD5F5A">
        <w:rPr>
          <w:rFonts w:cs="Arial"/>
        </w:rPr>
        <w:t xml:space="preserve"> </w:t>
      </w:r>
    </w:p>
    <w:p w14:paraId="0886C41C" w14:textId="77777777" w:rsidR="00553D78" w:rsidRDefault="00553D78" w:rsidP="00EE07A4">
      <w:pPr>
        <w:pStyle w:val="NoSpacing"/>
        <w:rPr>
          <w:rFonts w:cs="Arial"/>
        </w:rPr>
      </w:pPr>
    </w:p>
    <w:p w14:paraId="5C916052" w14:textId="4638945E" w:rsidR="007D0939" w:rsidRDefault="00567774" w:rsidP="005E57B9">
      <w:pPr>
        <w:pStyle w:val="NoSpacing"/>
        <w:rPr>
          <w:rFonts w:cs="Arial"/>
          <w:b/>
          <w:bCs/>
          <w:sz w:val="20"/>
          <w:szCs w:val="20"/>
        </w:rPr>
      </w:pPr>
      <w:r w:rsidRPr="00567774">
        <w:rPr>
          <w:rFonts w:cs="Arial"/>
          <w:b/>
          <w:bCs/>
          <w:sz w:val="20"/>
          <w:szCs w:val="20"/>
        </w:rPr>
        <w:t xml:space="preserve">Figure </w:t>
      </w:r>
      <w:r w:rsidR="00781954">
        <w:rPr>
          <w:rFonts w:cs="Arial"/>
          <w:b/>
          <w:bCs/>
          <w:sz w:val="20"/>
          <w:szCs w:val="20"/>
        </w:rPr>
        <w:t>8</w:t>
      </w:r>
      <w:r w:rsidRPr="00567774">
        <w:rPr>
          <w:rFonts w:cs="Arial"/>
          <w:b/>
          <w:bCs/>
          <w:sz w:val="20"/>
          <w:szCs w:val="20"/>
        </w:rPr>
        <w:t xml:space="preserve">: Recorded prevalence of long-term conditions and disease (based on </w:t>
      </w:r>
      <w:r w:rsidR="005E6221">
        <w:rPr>
          <w:rFonts w:cs="Arial"/>
          <w:b/>
          <w:bCs/>
          <w:sz w:val="20"/>
          <w:szCs w:val="20"/>
        </w:rPr>
        <w:t xml:space="preserve">monitoring </w:t>
      </w:r>
      <w:r w:rsidRPr="00567774">
        <w:rPr>
          <w:rFonts w:cs="Arial"/>
          <w:b/>
          <w:bCs/>
          <w:sz w:val="20"/>
          <w:szCs w:val="20"/>
        </w:rPr>
        <w:t xml:space="preserve">QOF Registers at </w:t>
      </w:r>
      <w:r w:rsidR="00163C7B">
        <w:rPr>
          <w:rFonts w:cs="Arial"/>
          <w:b/>
          <w:bCs/>
          <w:sz w:val="20"/>
          <w:szCs w:val="20"/>
        </w:rPr>
        <w:t>11</w:t>
      </w:r>
      <w:r w:rsidR="00163C7B" w:rsidRPr="00163C7B">
        <w:rPr>
          <w:rFonts w:cs="Arial"/>
          <w:b/>
          <w:bCs/>
          <w:sz w:val="20"/>
          <w:szCs w:val="20"/>
          <w:vertAlign w:val="superscript"/>
        </w:rPr>
        <w:t>th</w:t>
      </w:r>
      <w:r w:rsidR="00163C7B">
        <w:rPr>
          <w:rFonts w:cs="Arial"/>
          <w:b/>
          <w:bCs/>
          <w:sz w:val="20"/>
          <w:szCs w:val="20"/>
        </w:rPr>
        <w:t xml:space="preserve"> May</w:t>
      </w:r>
      <w:r w:rsidRPr="00567774">
        <w:rPr>
          <w:rFonts w:cs="Arial"/>
          <w:b/>
          <w:bCs/>
          <w:sz w:val="20"/>
          <w:szCs w:val="20"/>
        </w:rPr>
        <w:t xml:space="preserve"> 2022)</w:t>
      </w:r>
    </w:p>
    <w:p w14:paraId="1162365D" w14:textId="77777777" w:rsidR="00D23B83" w:rsidRPr="00A51C09" w:rsidRDefault="00D23B83" w:rsidP="005E57B9">
      <w:pPr>
        <w:pStyle w:val="NoSpacing"/>
        <w:rPr>
          <w:rFonts w:cs="Arial"/>
          <w:b/>
          <w:bCs/>
          <w:sz w:val="16"/>
          <w:szCs w:val="16"/>
        </w:rPr>
      </w:pPr>
    </w:p>
    <w:p w14:paraId="59E4F987" w14:textId="7BB18C39" w:rsidR="00D23B83" w:rsidRDefault="00D23B83" w:rsidP="005E57B9">
      <w:pPr>
        <w:pStyle w:val="NoSpacing"/>
        <w:rPr>
          <w:rFonts w:cs="Arial"/>
          <w:b/>
          <w:bCs/>
          <w:sz w:val="20"/>
          <w:szCs w:val="20"/>
        </w:rPr>
      </w:pPr>
      <w:r w:rsidRPr="00D23B83">
        <w:rPr>
          <w:rFonts w:cs="Arial"/>
          <w:b/>
          <w:bCs/>
          <w:sz w:val="20"/>
          <w:szCs w:val="20"/>
        </w:rPr>
        <w:drawing>
          <wp:inline distT="0" distB="0" distL="0" distR="0" wp14:anchorId="655D6017" wp14:editId="066F85BB">
            <wp:extent cx="6252845" cy="3122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756"/>
                    <a:stretch/>
                  </pic:blipFill>
                  <pic:spPr bwMode="auto">
                    <a:xfrm>
                      <a:off x="0" y="0"/>
                      <a:ext cx="6252845" cy="3122295"/>
                    </a:xfrm>
                    <a:prstGeom prst="rect">
                      <a:avLst/>
                    </a:prstGeom>
                    <a:ln>
                      <a:noFill/>
                    </a:ln>
                    <a:extLst>
                      <a:ext uri="{53640926-AAD7-44D8-BBD7-CCE9431645EC}">
                        <a14:shadowObscured xmlns:a14="http://schemas.microsoft.com/office/drawing/2010/main"/>
                      </a:ext>
                    </a:extLst>
                  </pic:spPr>
                </pic:pic>
              </a:graphicData>
            </a:graphic>
          </wp:inline>
        </w:drawing>
      </w:r>
    </w:p>
    <w:p w14:paraId="1056C14E" w14:textId="77777777" w:rsidR="00B13743" w:rsidRDefault="00B13743" w:rsidP="005E57B9">
      <w:pPr>
        <w:pStyle w:val="NoSpacing"/>
        <w:rPr>
          <w:rFonts w:cs="Arial"/>
          <w:i/>
          <w:iCs/>
          <w:sz w:val="20"/>
          <w:szCs w:val="20"/>
        </w:rPr>
      </w:pPr>
      <w:r>
        <w:rPr>
          <w:rFonts w:cs="Arial"/>
          <w:i/>
          <w:iCs/>
          <w:sz w:val="20"/>
          <w:szCs w:val="20"/>
        </w:rPr>
        <w:t>Statistical significance is based on 95% confidence intervals</w:t>
      </w:r>
    </w:p>
    <w:p w14:paraId="2B0547A9" w14:textId="6338AD21" w:rsidR="009A21FC" w:rsidRPr="00670776" w:rsidRDefault="00567774" w:rsidP="005E57B9">
      <w:pPr>
        <w:pStyle w:val="NoSpacing"/>
        <w:rPr>
          <w:rFonts w:cs="Arial"/>
          <w:i/>
          <w:iCs/>
          <w:sz w:val="20"/>
          <w:szCs w:val="20"/>
        </w:rPr>
      </w:pPr>
      <w:r w:rsidRPr="00670776">
        <w:rPr>
          <w:rFonts w:cs="Arial"/>
          <w:i/>
          <w:iCs/>
          <w:sz w:val="20"/>
          <w:szCs w:val="20"/>
        </w:rPr>
        <w:t>Source: Frimley System Ins</w:t>
      </w:r>
      <w:r w:rsidR="00670776" w:rsidRPr="00670776">
        <w:rPr>
          <w:rFonts w:cs="Arial"/>
          <w:i/>
          <w:iCs/>
          <w:sz w:val="20"/>
          <w:szCs w:val="20"/>
        </w:rPr>
        <w:t>ights</w:t>
      </w:r>
    </w:p>
    <w:p w14:paraId="4985EFEB" w14:textId="5036263C" w:rsidR="00605BA5" w:rsidRDefault="00605BA5" w:rsidP="005E57B9">
      <w:pPr>
        <w:pStyle w:val="NoSpacing"/>
        <w:rPr>
          <w:rFonts w:cs="Arial"/>
          <w:b/>
          <w:bCs/>
          <w:color w:val="4F81BD" w:themeColor="accent1"/>
          <w:sz w:val="24"/>
          <w:szCs w:val="24"/>
        </w:rPr>
      </w:pPr>
    </w:p>
    <w:p w14:paraId="4865A077" w14:textId="2DD5E2EB" w:rsidR="004B69CB" w:rsidRDefault="00A76D8F" w:rsidP="005E57B9">
      <w:pPr>
        <w:pStyle w:val="NoSpacing"/>
        <w:rPr>
          <w:rFonts w:cs="Arial"/>
        </w:rPr>
      </w:pPr>
      <w:r>
        <w:rPr>
          <w:rFonts w:cs="Arial"/>
        </w:rPr>
        <w:t>The population</w:t>
      </w:r>
      <w:r w:rsidR="008B633F">
        <w:rPr>
          <w:rFonts w:cs="Arial"/>
        </w:rPr>
        <w:t>’</w:t>
      </w:r>
      <w:r>
        <w:rPr>
          <w:rFonts w:cs="Arial"/>
        </w:rPr>
        <w:t>s health needs can be mapped into br</w:t>
      </w:r>
      <w:r w:rsidR="008B633F">
        <w:rPr>
          <w:rFonts w:cs="Arial"/>
        </w:rPr>
        <w:t>o</w:t>
      </w:r>
      <w:r>
        <w:rPr>
          <w:rFonts w:cs="Arial"/>
        </w:rPr>
        <w:t xml:space="preserve">ad categories to </w:t>
      </w:r>
      <w:r w:rsidR="008B633F">
        <w:rPr>
          <w:rFonts w:cs="Arial"/>
        </w:rPr>
        <w:t xml:space="preserve">indicate the level of </w:t>
      </w:r>
      <w:r w:rsidR="00702DB7">
        <w:rPr>
          <w:rFonts w:cs="Arial"/>
        </w:rPr>
        <w:t>health resources required to support them</w:t>
      </w:r>
      <w:r w:rsidR="00C27F5E">
        <w:rPr>
          <w:rFonts w:cs="Arial"/>
        </w:rPr>
        <w:t xml:space="preserve">. </w:t>
      </w:r>
      <w:r w:rsidR="0056795C">
        <w:rPr>
          <w:rFonts w:cs="Arial"/>
        </w:rPr>
        <w:t>Maidenhead Town Centre and Maidenhead areas have similar proportions of the population in these categories</w:t>
      </w:r>
      <w:r w:rsidR="00C27F5E">
        <w:rPr>
          <w:rFonts w:cs="Arial"/>
        </w:rPr>
        <w:t xml:space="preserve"> with 32% of the population </w:t>
      </w:r>
      <w:r w:rsidR="00E94ED6">
        <w:rPr>
          <w:rFonts w:cs="Arial"/>
        </w:rPr>
        <w:t>identified as</w:t>
      </w:r>
      <w:r w:rsidR="00BE7D35">
        <w:rPr>
          <w:rFonts w:cs="Arial"/>
        </w:rPr>
        <w:t xml:space="preserve"> </w:t>
      </w:r>
      <w:r w:rsidR="00E94ED6">
        <w:rPr>
          <w:rFonts w:cs="Arial"/>
        </w:rPr>
        <w:t xml:space="preserve">‘Healthy </w:t>
      </w:r>
      <w:r w:rsidR="003062F3">
        <w:rPr>
          <w:rFonts w:cs="Arial"/>
        </w:rPr>
        <w:t>u</w:t>
      </w:r>
      <w:r w:rsidR="00E94ED6">
        <w:rPr>
          <w:rFonts w:cs="Arial"/>
        </w:rPr>
        <w:t>sers’</w:t>
      </w:r>
      <w:r w:rsidR="00BD6325">
        <w:rPr>
          <w:rFonts w:cs="Arial"/>
        </w:rPr>
        <w:t xml:space="preserve"> with minimal support required, </w:t>
      </w:r>
      <w:r w:rsidR="00E94ED6">
        <w:rPr>
          <w:rFonts w:cs="Arial"/>
        </w:rPr>
        <w:t xml:space="preserve">17% as low users, </w:t>
      </w:r>
      <w:r w:rsidR="00B61C72">
        <w:rPr>
          <w:rFonts w:cs="Arial"/>
        </w:rPr>
        <w:t>36% as medium users and 11% as high/very high users.</w:t>
      </w:r>
      <w:r w:rsidR="00BD6325">
        <w:rPr>
          <w:rFonts w:cs="Arial"/>
        </w:rPr>
        <w:t xml:space="preserve"> These </w:t>
      </w:r>
      <w:r w:rsidR="00E97EAC">
        <w:rPr>
          <w:rFonts w:cs="Arial"/>
        </w:rPr>
        <w:t>proportions are similar to both RBWM and the Frimley ICS footprint as a whole (Frimley System Insights</w:t>
      </w:r>
      <w:r w:rsidR="00CE37E8">
        <w:rPr>
          <w:rFonts w:cs="Arial"/>
        </w:rPr>
        <w:t xml:space="preserve"> at </w:t>
      </w:r>
      <w:r w:rsidR="00767890">
        <w:rPr>
          <w:rFonts w:cs="Arial"/>
        </w:rPr>
        <w:t>11</w:t>
      </w:r>
      <w:r w:rsidR="00767890" w:rsidRPr="00767890">
        <w:rPr>
          <w:rFonts w:cs="Arial"/>
          <w:vertAlign w:val="superscript"/>
        </w:rPr>
        <w:t>th</w:t>
      </w:r>
      <w:r w:rsidR="00767890">
        <w:rPr>
          <w:rFonts w:cs="Arial"/>
        </w:rPr>
        <w:t xml:space="preserve"> May</w:t>
      </w:r>
      <w:r w:rsidR="00CE37E8">
        <w:rPr>
          <w:rFonts w:cs="Arial"/>
        </w:rPr>
        <w:t xml:space="preserve"> 2022</w:t>
      </w:r>
      <w:r w:rsidR="00E97EAC">
        <w:rPr>
          <w:rFonts w:cs="Arial"/>
        </w:rPr>
        <w:t>)</w:t>
      </w:r>
      <w:r w:rsidR="00CE37E8">
        <w:rPr>
          <w:rFonts w:cs="Arial"/>
        </w:rPr>
        <w:t>.</w:t>
      </w:r>
      <w:r w:rsidR="00BD6325">
        <w:rPr>
          <w:rFonts w:cs="Arial"/>
        </w:rPr>
        <w:t xml:space="preserve"> </w:t>
      </w:r>
    </w:p>
    <w:p w14:paraId="781F1754" w14:textId="3BEAA025" w:rsidR="00D34277" w:rsidRPr="00CD5F5A" w:rsidRDefault="00D34277" w:rsidP="00D34277">
      <w:pPr>
        <w:pStyle w:val="NoSpacing"/>
        <w:rPr>
          <w:rFonts w:cs="Arial"/>
          <w:b/>
          <w:bCs/>
          <w:color w:val="4F81BD" w:themeColor="accent1"/>
        </w:rPr>
      </w:pPr>
    </w:p>
    <w:p w14:paraId="6D85A68C" w14:textId="3B532984" w:rsidR="00D34277" w:rsidRDefault="00D34277" w:rsidP="005E57B9">
      <w:pPr>
        <w:pStyle w:val="NoSpacing"/>
        <w:rPr>
          <w:rFonts w:cs="Arial"/>
          <w:b/>
          <w:bCs/>
          <w:color w:val="4F81BD" w:themeColor="accent1"/>
          <w:sz w:val="24"/>
          <w:szCs w:val="24"/>
        </w:rPr>
      </w:pPr>
    </w:p>
    <w:p w14:paraId="006C9316" w14:textId="77777777" w:rsidR="00D34277" w:rsidRDefault="00D34277" w:rsidP="005E57B9">
      <w:pPr>
        <w:pStyle w:val="NoSpacing"/>
        <w:rPr>
          <w:rFonts w:cs="Arial"/>
          <w:b/>
          <w:bCs/>
          <w:color w:val="4F81BD" w:themeColor="accent1"/>
          <w:sz w:val="24"/>
          <w:szCs w:val="24"/>
        </w:rPr>
      </w:pPr>
    </w:p>
    <w:sectPr w:rsidR="00D34277" w:rsidSect="00652D88">
      <w:footerReference w:type="default" r:id="rId37"/>
      <w:pgSz w:w="11906" w:h="16838"/>
      <w:pgMar w:top="993"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B0B9" w14:textId="77777777" w:rsidR="009A2E18" w:rsidRDefault="009A2E18" w:rsidP="005876EC">
      <w:r>
        <w:separator/>
      </w:r>
    </w:p>
  </w:endnote>
  <w:endnote w:type="continuationSeparator" w:id="0">
    <w:p w14:paraId="775BE446" w14:textId="77777777" w:rsidR="009A2E18" w:rsidRDefault="009A2E18" w:rsidP="0058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17DB" w14:textId="29BDB14D" w:rsidR="005876EC" w:rsidRPr="005876EC" w:rsidRDefault="005876EC">
    <w:pPr>
      <w:pStyle w:val="Footer"/>
      <w:rPr>
        <w:sz w:val="20"/>
        <w:szCs w:val="20"/>
      </w:rPr>
    </w:pPr>
    <w:r w:rsidRPr="005876EC">
      <w:rPr>
        <w:sz w:val="20"/>
        <w:szCs w:val="20"/>
      </w:rPr>
      <w:t>Berkshire East Public Health Hub</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4D45" w14:textId="77777777" w:rsidR="009A2E18" w:rsidRDefault="009A2E18" w:rsidP="005876EC">
      <w:r>
        <w:separator/>
      </w:r>
    </w:p>
  </w:footnote>
  <w:footnote w:type="continuationSeparator" w:id="0">
    <w:p w14:paraId="2D5CF747" w14:textId="77777777" w:rsidR="009A2E18" w:rsidRDefault="009A2E18" w:rsidP="00587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50"/>
    <w:rsid w:val="00007967"/>
    <w:rsid w:val="0002273C"/>
    <w:rsid w:val="00033E5F"/>
    <w:rsid w:val="000373FB"/>
    <w:rsid w:val="00037D96"/>
    <w:rsid w:val="00047EAA"/>
    <w:rsid w:val="00054B4E"/>
    <w:rsid w:val="00056DBA"/>
    <w:rsid w:val="00063C82"/>
    <w:rsid w:val="0007286E"/>
    <w:rsid w:val="00074219"/>
    <w:rsid w:val="00076347"/>
    <w:rsid w:val="000871AC"/>
    <w:rsid w:val="0009213B"/>
    <w:rsid w:val="000A5D43"/>
    <w:rsid w:val="000B1721"/>
    <w:rsid w:val="000C2B5C"/>
    <w:rsid w:val="000C50B4"/>
    <w:rsid w:val="000E066E"/>
    <w:rsid w:val="000E76F3"/>
    <w:rsid w:val="000F3ABB"/>
    <w:rsid w:val="00110CD5"/>
    <w:rsid w:val="0011124E"/>
    <w:rsid w:val="00115657"/>
    <w:rsid w:val="001240C3"/>
    <w:rsid w:val="00125772"/>
    <w:rsid w:val="00130683"/>
    <w:rsid w:val="001340A2"/>
    <w:rsid w:val="00140E19"/>
    <w:rsid w:val="001412F9"/>
    <w:rsid w:val="0014452A"/>
    <w:rsid w:val="0014655B"/>
    <w:rsid w:val="00150313"/>
    <w:rsid w:val="0016343C"/>
    <w:rsid w:val="00163C7B"/>
    <w:rsid w:val="00163D3E"/>
    <w:rsid w:val="00170697"/>
    <w:rsid w:val="00170DC5"/>
    <w:rsid w:val="001773E2"/>
    <w:rsid w:val="001805EE"/>
    <w:rsid w:val="0018072D"/>
    <w:rsid w:val="00181C74"/>
    <w:rsid w:val="0019185F"/>
    <w:rsid w:val="001A1F73"/>
    <w:rsid w:val="001A3C8B"/>
    <w:rsid w:val="001B0184"/>
    <w:rsid w:val="001B7672"/>
    <w:rsid w:val="001C75B1"/>
    <w:rsid w:val="001D4243"/>
    <w:rsid w:val="001F7AA0"/>
    <w:rsid w:val="00227CCD"/>
    <w:rsid w:val="00237B12"/>
    <w:rsid w:val="00244E3A"/>
    <w:rsid w:val="00247AC3"/>
    <w:rsid w:val="002561F7"/>
    <w:rsid w:val="00256CDF"/>
    <w:rsid w:val="002612D6"/>
    <w:rsid w:val="00277918"/>
    <w:rsid w:val="002803D2"/>
    <w:rsid w:val="002803F3"/>
    <w:rsid w:val="002829FF"/>
    <w:rsid w:val="00293741"/>
    <w:rsid w:val="002B7B7B"/>
    <w:rsid w:val="002E0EC2"/>
    <w:rsid w:val="002E1359"/>
    <w:rsid w:val="002E476B"/>
    <w:rsid w:val="002E606F"/>
    <w:rsid w:val="003062F3"/>
    <w:rsid w:val="00327D27"/>
    <w:rsid w:val="0033721C"/>
    <w:rsid w:val="003375A4"/>
    <w:rsid w:val="003432C3"/>
    <w:rsid w:val="00344F2E"/>
    <w:rsid w:val="00361B71"/>
    <w:rsid w:val="00371CBE"/>
    <w:rsid w:val="0037604C"/>
    <w:rsid w:val="003D06EE"/>
    <w:rsid w:val="003E4401"/>
    <w:rsid w:val="003E7CF4"/>
    <w:rsid w:val="003F2821"/>
    <w:rsid w:val="00405140"/>
    <w:rsid w:val="00413617"/>
    <w:rsid w:val="0041425A"/>
    <w:rsid w:val="00414E73"/>
    <w:rsid w:val="004161AE"/>
    <w:rsid w:val="00420A78"/>
    <w:rsid w:val="00423737"/>
    <w:rsid w:val="00442966"/>
    <w:rsid w:val="0046383C"/>
    <w:rsid w:val="004672F7"/>
    <w:rsid w:val="0048113A"/>
    <w:rsid w:val="00481CDC"/>
    <w:rsid w:val="00482308"/>
    <w:rsid w:val="0048781B"/>
    <w:rsid w:val="00490B8A"/>
    <w:rsid w:val="004A2925"/>
    <w:rsid w:val="004A46C8"/>
    <w:rsid w:val="004B003D"/>
    <w:rsid w:val="004B69CB"/>
    <w:rsid w:val="004C75AA"/>
    <w:rsid w:val="004E2702"/>
    <w:rsid w:val="004E2742"/>
    <w:rsid w:val="00514183"/>
    <w:rsid w:val="00526C8B"/>
    <w:rsid w:val="0053119F"/>
    <w:rsid w:val="005421E0"/>
    <w:rsid w:val="00544DB3"/>
    <w:rsid w:val="00547FFE"/>
    <w:rsid w:val="00550B6D"/>
    <w:rsid w:val="00553D78"/>
    <w:rsid w:val="00554622"/>
    <w:rsid w:val="00567774"/>
    <w:rsid w:val="0056795C"/>
    <w:rsid w:val="0057555B"/>
    <w:rsid w:val="00582F68"/>
    <w:rsid w:val="005876EC"/>
    <w:rsid w:val="00596FA4"/>
    <w:rsid w:val="005A067F"/>
    <w:rsid w:val="005A18B7"/>
    <w:rsid w:val="005A20CE"/>
    <w:rsid w:val="005B04D5"/>
    <w:rsid w:val="005B06B6"/>
    <w:rsid w:val="005B50EF"/>
    <w:rsid w:val="005B7B65"/>
    <w:rsid w:val="005C26CF"/>
    <w:rsid w:val="005C41E6"/>
    <w:rsid w:val="005C6CCF"/>
    <w:rsid w:val="005C6E0A"/>
    <w:rsid w:val="005D6572"/>
    <w:rsid w:val="005E1B14"/>
    <w:rsid w:val="005E5571"/>
    <w:rsid w:val="005E57B9"/>
    <w:rsid w:val="005E6221"/>
    <w:rsid w:val="005F501C"/>
    <w:rsid w:val="00605BA5"/>
    <w:rsid w:val="006075B6"/>
    <w:rsid w:val="00616572"/>
    <w:rsid w:val="00633DBF"/>
    <w:rsid w:val="00641163"/>
    <w:rsid w:val="006417A5"/>
    <w:rsid w:val="00642252"/>
    <w:rsid w:val="00652D88"/>
    <w:rsid w:val="00670776"/>
    <w:rsid w:val="0067488E"/>
    <w:rsid w:val="00695A44"/>
    <w:rsid w:val="00696F0E"/>
    <w:rsid w:val="006A0210"/>
    <w:rsid w:val="006A6438"/>
    <w:rsid w:val="006D237E"/>
    <w:rsid w:val="006D7CD0"/>
    <w:rsid w:val="006E01DD"/>
    <w:rsid w:val="006F1AE5"/>
    <w:rsid w:val="006F39B1"/>
    <w:rsid w:val="00702DB7"/>
    <w:rsid w:val="007128DE"/>
    <w:rsid w:val="00717619"/>
    <w:rsid w:val="00720D38"/>
    <w:rsid w:val="00724A85"/>
    <w:rsid w:val="00741F39"/>
    <w:rsid w:val="007466D0"/>
    <w:rsid w:val="00751ADB"/>
    <w:rsid w:val="00767890"/>
    <w:rsid w:val="00772BBE"/>
    <w:rsid w:val="007768E1"/>
    <w:rsid w:val="00781954"/>
    <w:rsid w:val="007A1FC9"/>
    <w:rsid w:val="007A5275"/>
    <w:rsid w:val="007C18CE"/>
    <w:rsid w:val="007C74A7"/>
    <w:rsid w:val="007D0939"/>
    <w:rsid w:val="007D49F1"/>
    <w:rsid w:val="007D6D7E"/>
    <w:rsid w:val="007E016A"/>
    <w:rsid w:val="007E065E"/>
    <w:rsid w:val="007E4DB6"/>
    <w:rsid w:val="00800E33"/>
    <w:rsid w:val="00801B20"/>
    <w:rsid w:val="008062E7"/>
    <w:rsid w:val="00814954"/>
    <w:rsid w:val="008225C3"/>
    <w:rsid w:val="008262BD"/>
    <w:rsid w:val="00830616"/>
    <w:rsid w:val="00830CED"/>
    <w:rsid w:val="00830FDD"/>
    <w:rsid w:val="008438D3"/>
    <w:rsid w:val="00844597"/>
    <w:rsid w:val="00846F17"/>
    <w:rsid w:val="0085799F"/>
    <w:rsid w:val="00861100"/>
    <w:rsid w:val="0086418C"/>
    <w:rsid w:val="0087212E"/>
    <w:rsid w:val="00873A89"/>
    <w:rsid w:val="00890624"/>
    <w:rsid w:val="008A2483"/>
    <w:rsid w:val="008B633F"/>
    <w:rsid w:val="008C1A28"/>
    <w:rsid w:val="008C2E0F"/>
    <w:rsid w:val="008D278B"/>
    <w:rsid w:val="008F5BC3"/>
    <w:rsid w:val="0090161B"/>
    <w:rsid w:val="00914016"/>
    <w:rsid w:val="009168F1"/>
    <w:rsid w:val="00917742"/>
    <w:rsid w:val="00922F57"/>
    <w:rsid w:val="0092622B"/>
    <w:rsid w:val="009270FA"/>
    <w:rsid w:val="00934379"/>
    <w:rsid w:val="00940EC8"/>
    <w:rsid w:val="00947A35"/>
    <w:rsid w:val="009615B5"/>
    <w:rsid w:val="00971C01"/>
    <w:rsid w:val="009745B5"/>
    <w:rsid w:val="009842D0"/>
    <w:rsid w:val="00984875"/>
    <w:rsid w:val="00991E64"/>
    <w:rsid w:val="009A21FC"/>
    <w:rsid w:val="009A2E18"/>
    <w:rsid w:val="009C338C"/>
    <w:rsid w:val="009D1116"/>
    <w:rsid w:val="009D7B7A"/>
    <w:rsid w:val="009E51C1"/>
    <w:rsid w:val="009E5546"/>
    <w:rsid w:val="009E7A15"/>
    <w:rsid w:val="00A0052C"/>
    <w:rsid w:val="00A027E9"/>
    <w:rsid w:val="00A06F57"/>
    <w:rsid w:val="00A25620"/>
    <w:rsid w:val="00A45218"/>
    <w:rsid w:val="00A50BBA"/>
    <w:rsid w:val="00A5186C"/>
    <w:rsid w:val="00A51C09"/>
    <w:rsid w:val="00A51F24"/>
    <w:rsid w:val="00A576CB"/>
    <w:rsid w:val="00A70EA4"/>
    <w:rsid w:val="00A76D8F"/>
    <w:rsid w:val="00A84361"/>
    <w:rsid w:val="00A86AA4"/>
    <w:rsid w:val="00A908A0"/>
    <w:rsid w:val="00A94C72"/>
    <w:rsid w:val="00A97165"/>
    <w:rsid w:val="00AA3E4D"/>
    <w:rsid w:val="00AA498E"/>
    <w:rsid w:val="00AD6678"/>
    <w:rsid w:val="00AD72D6"/>
    <w:rsid w:val="00AD7FE8"/>
    <w:rsid w:val="00AF0053"/>
    <w:rsid w:val="00AF7CCF"/>
    <w:rsid w:val="00B03F2D"/>
    <w:rsid w:val="00B12A3E"/>
    <w:rsid w:val="00B13743"/>
    <w:rsid w:val="00B14D75"/>
    <w:rsid w:val="00B2200C"/>
    <w:rsid w:val="00B27F32"/>
    <w:rsid w:val="00B42B01"/>
    <w:rsid w:val="00B44986"/>
    <w:rsid w:val="00B50C82"/>
    <w:rsid w:val="00B57B43"/>
    <w:rsid w:val="00B60308"/>
    <w:rsid w:val="00B61C72"/>
    <w:rsid w:val="00B64BD4"/>
    <w:rsid w:val="00B651D6"/>
    <w:rsid w:val="00B651F3"/>
    <w:rsid w:val="00B66E3B"/>
    <w:rsid w:val="00B709B8"/>
    <w:rsid w:val="00B71062"/>
    <w:rsid w:val="00B7510B"/>
    <w:rsid w:val="00B82E5B"/>
    <w:rsid w:val="00B924E0"/>
    <w:rsid w:val="00BA56D0"/>
    <w:rsid w:val="00BD352C"/>
    <w:rsid w:val="00BD6325"/>
    <w:rsid w:val="00BE5380"/>
    <w:rsid w:val="00BE5BE7"/>
    <w:rsid w:val="00BE7D35"/>
    <w:rsid w:val="00C03EAF"/>
    <w:rsid w:val="00C10708"/>
    <w:rsid w:val="00C136CD"/>
    <w:rsid w:val="00C1521D"/>
    <w:rsid w:val="00C27F5E"/>
    <w:rsid w:val="00C50B12"/>
    <w:rsid w:val="00C5499B"/>
    <w:rsid w:val="00C56027"/>
    <w:rsid w:val="00C634CE"/>
    <w:rsid w:val="00C77A26"/>
    <w:rsid w:val="00C80F76"/>
    <w:rsid w:val="00C9094F"/>
    <w:rsid w:val="00CB66C1"/>
    <w:rsid w:val="00CD5F5A"/>
    <w:rsid w:val="00CE37E8"/>
    <w:rsid w:val="00CE47CE"/>
    <w:rsid w:val="00CF5217"/>
    <w:rsid w:val="00CF6568"/>
    <w:rsid w:val="00D23B83"/>
    <w:rsid w:val="00D33A2F"/>
    <w:rsid w:val="00D34277"/>
    <w:rsid w:val="00D42614"/>
    <w:rsid w:val="00D54FA2"/>
    <w:rsid w:val="00D554F0"/>
    <w:rsid w:val="00D7593C"/>
    <w:rsid w:val="00D76606"/>
    <w:rsid w:val="00D76F34"/>
    <w:rsid w:val="00D946E6"/>
    <w:rsid w:val="00DB5E3D"/>
    <w:rsid w:val="00DB77E8"/>
    <w:rsid w:val="00DC0135"/>
    <w:rsid w:val="00DC266C"/>
    <w:rsid w:val="00DC5C8C"/>
    <w:rsid w:val="00DD3AC4"/>
    <w:rsid w:val="00DE7D1B"/>
    <w:rsid w:val="00DF4A78"/>
    <w:rsid w:val="00DF7E72"/>
    <w:rsid w:val="00E02DB9"/>
    <w:rsid w:val="00E02F02"/>
    <w:rsid w:val="00E06DB6"/>
    <w:rsid w:val="00E079E4"/>
    <w:rsid w:val="00E16BD6"/>
    <w:rsid w:val="00E234DF"/>
    <w:rsid w:val="00E25EFD"/>
    <w:rsid w:val="00E33D5D"/>
    <w:rsid w:val="00E533C0"/>
    <w:rsid w:val="00E57650"/>
    <w:rsid w:val="00E57750"/>
    <w:rsid w:val="00E77EF1"/>
    <w:rsid w:val="00E900DC"/>
    <w:rsid w:val="00E94ED6"/>
    <w:rsid w:val="00E97EAC"/>
    <w:rsid w:val="00EC70F6"/>
    <w:rsid w:val="00ED02EA"/>
    <w:rsid w:val="00EE07A4"/>
    <w:rsid w:val="00EF0AD1"/>
    <w:rsid w:val="00EF27B8"/>
    <w:rsid w:val="00EF287C"/>
    <w:rsid w:val="00EF3EB7"/>
    <w:rsid w:val="00F00576"/>
    <w:rsid w:val="00F01F95"/>
    <w:rsid w:val="00F06845"/>
    <w:rsid w:val="00F06A00"/>
    <w:rsid w:val="00F06B0B"/>
    <w:rsid w:val="00F07137"/>
    <w:rsid w:val="00F07670"/>
    <w:rsid w:val="00F37072"/>
    <w:rsid w:val="00F46F2A"/>
    <w:rsid w:val="00F5483D"/>
    <w:rsid w:val="00F6429E"/>
    <w:rsid w:val="00F66E4E"/>
    <w:rsid w:val="00F74169"/>
    <w:rsid w:val="00F92118"/>
    <w:rsid w:val="00F9297C"/>
    <w:rsid w:val="00FA6542"/>
    <w:rsid w:val="00FB634C"/>
    <w:rsid w:val="00FE2F6F"/>
    <w:rsid w:val="00FE37E1"/>
    <w:rsid w:val="00FE3CB7"/>
    <w:rsid w:val="00FF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3022"/>
  <w15:chartTrackingRefBased/>
  <w15:docId w15:val="{6169EADC-ACE7-4ADD-981F-4F50B96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table" w:styleId="TableGrid">
    <w:name w:val="Table Grid"/>
    <w:basedOn w:val="TableNormal"/>
    <w:uiPriority w:val="59"/>
    <w:rsid w:val="00E5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650"/>
    <w:rPr>
      <w:color w:val="0000FF" w:themeColor="hyperlink"/>
      <w:u w:val="single"/>
    </w:rPr>
  </w:style>
  <w:style w:type="character" w:styleId="UnresolvedMention">
    <w:name w:val="Unresolved Mention"/>
    <w:basedOn w:val="DefaultParagraphFont"/>
    <w:uiPriority w:val="99"/>
    <w:semiHidden/>
    <w:unhideWhenUsed/>
    <w:rsid w:val="00E57650"/>
    <w:rPr>
      <w:color w:val="605E5C"/>
      <w:shd w:val="clear" w:color="auto" w:fill="E1DFDD"/>
    </w:rPr>
  </w:style>
  <w:style w:type="character" w:styleId="FollowedHyperlink">
    <w:name w:val="FollowedHyperlink"/>
    <w:basedOn w:val="DefaultParagraphFont"/>
    <w:uiPriority w:val="99"/>
    <w:semiHidden/>
    <w:unhideWhenUsed/>
    <w:rsid w:val="00F9297C"/>
    <w:rPr>
      <w:color w:val="800080" w:themeColor="followedHyperlink"/>
      <w:u w:val="single"/>
    </w:rPr>
  </w:style>
  <w:style w:type="table" w:customStyle="1" w:styleId="TableGrid1">
    <w:name w:val="Table Grid1"/>
    <w:basedOn w:val="TableNormal"/>
    <w:next w:val="TableGrid"/>
    <w:uiPriority w:val="99"/>
    <w:rsid w:val="00F0057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6EC"/>
    <w:pPr>
      <w:tabs>
        <w:tab w:val="center" w:pos="4513"/>
        <w:tab w:val="right" w:pos="9026"/>
      </w:tabs>
    </w:pPr>
  </w:style>
  <w:style w:type="character" w:customStyle="1" w:styleId="HeaderChar">
    <w:name w:val="Header Char"/>
    <w:basedOn w:val="DefaultParagraphFont"/>
    <w:link w:val="Header"/>
    <w:uiPriority w:val="99"/>
    <w:rsid w:val="005876EC"/>
  </w:style>
  <w:style w:type="paragraph" w:styleId="Footer">
    <w:name w:val="footer"/>
    <w:basedOn w:val="Normal"/>
    <w:link w:val="FooterChar"/>
    <w:uiPriority w:val="99"/>
    <w:unhideWhenUsed/>
    <w:rsid w:val="005876EC"/>
    <w:pPr>
      <w:tabs>
        <w:tab w:val="center" w:pos="4513"/>
        <w:tab w:val="right" w:pos="9026"/>
      </w:tabs>
    </w:pPr>
  </w:style>
  <w:style w:type="character" w:customStyle="1" w:styleId="FooterChar">
    <w:name w:val="Footer Char"/>
    <w:basedOn w:val="DefaultParagraphFont"/>
    <w:link w:val="Footer"/>
    <w:uiPriority w:val="99"/>
    <w:rsid w:val="0058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ns.gov.uk/peoplepopulationandcommunity/populationandmigration/populationestimates/datasets/wardlevelmidyearpopulationestimatesexperimental" TargetMode="External"/><Relationship Id="rId18" Type="http://schemas.openxmlformats.org/officeDocument/2006/relationships/hyperlink" Target="https://www.gov.uk/government/statistics/english-indices-of-deprivation-2019" TargetMode="External"/><Relationship Id="rId26" Type="http://schemas.openxmlformats.org/officeDocument/2006/relationships/hyperlink" Target="https://www.nomisweb.co.uk/query/construct/summary.asp?mode=construct&amp;version=0&amp;dataset=60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omisweb.co.uk/query/construct/summary.asp?menuopt=200&amp;subcomp=" TargetMode="External"/><Relationship Id="rId34" Type="http://schemas.openxmlformats.org/officeDocument/2006/relationships/hyperlink" Target="https://www.ons.gov.uk/peoplepopulationandcommunity/populationandmigration/populationestimates/datasets/lowersuperoutputareamidyearpopulationestimate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www.nomisweb.co.uk/query/construct/summary.asp?mode=construct&amp;version=0&amp;dataset=618" TargetMode="External"/><Relationship Id="rId33" Type="http://schemas.openxmlformats.org/officeDocument/2006/relationships/hyperlink" Target="https://fingertips.phe.org.uk/profile/public-health-outcomes-framewor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statistics/english-indices-of-deprivation-2019" TargetMode="External"/><Relationship Id="rId20" Type="http://schemas.openxmlformats.org/officeDocument/2006/relationships/hyperlink" Target="https://www.gov.uk/government/collections/fuel-poverty-sub-regional-statistics"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nomisweb.co.uk/query/construct/summary.asp?mode=construct&amp;version=0&amp;dataset=618" TargetMode="External"/><Relationship Id="rId32" Type="http://schemas.openxmlformats.org/officeDocument/2006/relationships/hyperlink" Target="https://www.ons.gov.uk/peoplepopulationandcommunity/populationandmigration/populationestimates/datasets/lowersuperoutputareamidyearpopulationestimate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statistics/english-indices-of-deprivation-2019" TargetMode="External"/><Relationship Id="rId23" Type="http://schemas.openxmlformats.org/officeDocument/2006/relationships/hyperlink" Target="https://bfcouncil-my.sharepoint.com/personal/becky_campbell_bracknell-forest_gov_uk/Documents/Valuations%20Office%20Agency%20(2021),%20Council%20Tax%20Statistics" TargetMode="External"/><Relationship Id="rId28" Type="http://schemas.openxmlformats.org/officeDocument/2006/relationships/hyperlink" Target="https://fingertips.phe.org.uk/profile/local-health/data" TargetMode="External"/><Relationship Id="rId36" Type="http://schemas.openxmlformats.org/officeDocument/2006/relationships/image" Target="media/image6.png"/><Relationship Id="rId10" Type="http://schemas.openxmlformats.org/officeDocument/2006/relationships/hyperlink" Target="https://www.ons.gov.uk/peoplepopulationandcommunity/populationandmigration/populationestimates/datasets/wardlevelmidyearpopulationestimatesexperimental" TargetMode="External"/><Relationship Id="rId19" Type="http://schemas.openxmlformats.org/officeDocument/2006/relationships/hyperlink" Target="https://www.ons.gov.uk/peoplepopulationandcommunity/populationandmigration/populationestimates/datasets/lowersuperoutputareamidyearpopulationestimates" TargetMode="External"/><Relationship Id="rId31" Type="http://schemas.openxmlformats.org/officeDocument/2006/relationships/hyperlink" Target="https://digital.nhs.uk/data-and-information/publications/statistical/smoking-drinking-and-drug-use-among-young-people-in-england/2018" TargetMode="External"/><Relationship Id="rId4" Type="http://schemas.openxmlformats.org/officeDocument/2006/relationships/styles" Target="styles.xml"/><Relationship Id="rId9" Type="http://schemas.openxmlformats.org/officeDocument/2006/relationships/hyperlink" Target="https://www.ons.gov.uk/peoplepopulationandcommunity/populationandmigration/populationestimates/datasets/wardlevelmidyearpopulationestimatesexperimental" TargetMode="External"/><Relationship Id="rId14" Type="http://schemas.openxmlformats.org/officeDocument/2006/relationships/hyperlink" Target="https://www.nomisweb.co.uk/query/construct/summary.asp?mode=construct&amp;version=0&amp;dataset=608" TargetMode="External"/><Relationship Id="rId22" Type="http://schemas.openxmlformats.org/officeDocument/2006/relationships/hyperlink" Target="https://www.nomisweb.co.uk/query/construct/summary.asp?mode=construct&amp;version=0&amp;dataset=162" TargetMode="External"/><Relationship Id="rId27" Type="http://schemas.openxmlformats.org/officeDocument/2006/relationships/hyperlink" Target="https://data.police.uk/" TargetMode="External"/><Relationship Id="rId30" Type="http://schemas.openxmlformats.org/officeDocument/2006/relationships/hyperlink" Target="https://fingertips.phe.org.uk/profile/local-health/data" TargetMode="External"/><Relationship Id="rId3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I xmlns="fe9da86e-f100-49e6-bbca-43cf3b0f7813">No</PII>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AB3733E5EAAB4E87E0CC10A7504BF6" ma:contentTypeVersion="11" ma:contentTypeDescription="Create a new document." ma:contentTypeScope="" ma:versionID="5c680cd2bd63ceb6fdcd3a21a66968ee">
  <xsd:schema xmlns:xsd="http://www.w3.org/2001/XMLSchema" xmlns:xs="http://www.w3.org/2001/XMLSchema" xmlns:p="http://schemas.microsoft.com/office/2006/metadata/properties" xmlns:ns2="fe9da86e-f100-49e6-bbca-43cf3b0f7813" xmlns:ns3="7d57a623-4667-4dad-8a8e-aceefeb82dba" xmlns:ns4="24cde54b-dbc4-4d7a-bd9e-9b6e5e43a190" targetNamespace="http://schemas.microsoft.com/office/2006/metadata/properties" ma:root="true" ma:fieldsID="344d8db45ab56bcdb769d2f22c8bd087" ns2:_="" ns3:_="" ns4:_="">
    <xsd:import namespace="fe9da86e-f100-49e6-bbca-43cf3b0f7813"/>
    <xsd:import namespace="7d57a623-4667-4dad-8a8e-aceefeb82dba"/>
    <xsd:import namespace="24cde54b-dbc4-4d7a-bd9e-9b6e5e43a190"/>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da86e-f100-49e6-bbca-43cf3b0f7813"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7d57a623-4667-4dad-8a8e-aceefeb82dba"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de54b-dbc4-4d7a-bd9e-9b6e5e43a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6587F-F6F8-47AB-B333-9512389150D0}">
  <ds:schemaRefs>
    <ds:schemaRef ds:uri="http://schemas.microsoft.com/office/2006/metadata/properties"/>
    <ds:schemaRef ds:uri="http://schemas.microsoft.com/office/infopath/2007/PartnerControls"/>
    <ds:schemaRef ds:uri="fe9da86e-f100-49e6-bbca-43cf3b0f7813"/>
  </ds:schemaRefs>
</ds:datastoreItem>
</file>

<file path=customXml/itemProps2.xml><?xml version="1.0" encoding="utf-8"?>
<ds:datastoreItem xmlns:ds="http://schemas.openxmlformats.org/officeDocument/2006/customXml" ds:itemID="{EB2969FF-849A-46BC-A949-E901494A67A0}">
  <ds:schemaRefs>
    <ds:schemaRef ds:uri="http://schemas.microsoft.com/sharepoint/v3/contenttype/forms"/>
  </ds:schemaRefs>
</ds:datastoreItem>
</file>

<file path=customXml/itemProps3.xml><?xml version="1.0" encoding="utf-8"?>
<ds:datastoreItem xmlns:ds="http://schemas.openxmlformats.org/officeDocument/2006/customXml" ds:itemID="{CFD50456-FA1D-42B2-B9B2-0212C0E14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da86e-f100-49e6-bbca-43cf3b0f7813"/>
    <ds:schemaRef ds:uri="7d57a623-4667-4dad-8a8e-aceefeb82dba"/>
    <ds:schemaRef ds:uri="24cde54b-dbc4-4d7a-bd9e-9b6e5e43a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Campbell</dc:creator>
  <cp:keywords/>
  <dc:description/>
  <cp:lastModifiedBy>Becky Campbell</cp:lastModifiedBy>
  <cp:revision>8</cp:revision>
  <dcterms:created xsi:type="dcterms:W3CDTF">2022-05-11T14:57:00Z</dcterms:created>
  <dcterms:modified xsi:type="dcterms:W3CDTF">2022-05-11T16:13:00Z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0x0101003BAB3733E5EAAB4E87E0CC10A7504BF6</vt:lpwstr>
  </property>
</Properties>
</file>